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298F" w14:textId="77777777" w:rsidR="009C4D01" w:rsidRDefault="009C4D01" w:rsidP="009C4D01">
      <w:pPr>
        <w:rPr>
          <w:b/>
          <w:bCs/>
          <w:sz w:val="44"/>
          <w:szCs w:val="44"/>
        </w:rPr>
      </w:pPr>
    </w:p>
    <w:p w14:paraId="7FA7EFB4" w14:textId="77777777" w:rsidR="009C4D01" w:rsidRDefault="009C4D01" w:rsidP="009C4D01">
      <w:pPr>
        <w:rPr>
          <w:b/>
          <w:bCs/>
          <w:sz w:val="44"/>
          <w:szCs w:val="44"/>
        </w:rPr>
      </w:pPr>
    </w:p>
    <w:p w14:paraId="710BFC72" w14:textId="77777777" w:rsidR="009C4D01" w:rsidRDefault="009C4D01" w:rsidP="009C4D01">
      <w:pPr>
        <w:rPr>
          <w:b/>
          <w:bCs/>
          <w:sz w:val="44"/>
          <w:szCs w:val="44"/>
        </w:rPr>
      </w:pPr>
    </w:p>
    <w:p w14:paraId="64FDE219" w14:textId="77777777" w:rsidR="00DF0818" w:rsidRDefault="00DF0818" w:rsidP="009C4D01">
      <w:pPr>
        <w:rPr>
          <w:b/>
          <w:bCs/>
          <w:sz w:val="44"/>
          <w:szCs w:val="44"/>
        </w:rPr>
      </w:pPr>
    </w:p>
    <w:p w14:paraId="4C7169A8" w14:textId="77777777" w:rsidR="00DF0818" w:rsidRDefault="00DF0818" w:rsidP="009C4D01">
      <w:pPr>
        <w:rPr>
          <w:b/>
          <w:bCs/>
          <w:sz w:val="44"/>
          <w:szCs w:val="44"/>
        </w:rPr>
      </w:pPr>
    </w:p>
    <w:p w14:paraId="09D6310C" w14:textId="77777777" w:rsidR="009C4D01" w:rsidRDefault="009C4D01" w:rsidP="009C4D01">
      <w:pPr>
        <w:rPr>
          <w:b/>
          <w:bCs/>
          <w:sz w:val="44"/>
          <w:szCs w:val="44"/>
        </w:rPr>
      </w:pPr>
    </w:p>
    <w:p w14:paraId="7E9F16B0" w14:textId="77777777" w:rsidR="009C4D01" w:rsidRDefault="009C4D01" w:rsidP="009C4D01">
      <w:pPr>
        <w:rPr>
          <w:b/>
          <w:bCs/>
          <w:sz w:val="44"/>
          <w:szCs w:val="44"/>
        </w:rPr>
      </w:pPr>
    </w:p>
    <w:p w14:paraId="2414103B" w14:textId="3263A878" w:rsidR="009C4D01" w:rsidRPr="000F1D58" w:rsidRDefault="009C4D01" w:rsidP="009C4D01">
      <w:pPr>
        <w:rPr>
          <w:b/>
          <w:bCs/>
          <w:sz w:val="44"/>
          <w:szCs w:val="44"/>
        </w:rPr>
      </w:pPr>
      <w:r>
        <w:rPr>
          <w:b/>
          <w:bCs/>
          <w:sz w:val="44"/>
          <w:szCs w:val="44"/>
        </w:rPr>
        <w:t xml:space="preserve">Cumbria Chamber of Commerce </w:t>
      </w:r>
    </w:p>
    <w:p w14:paraId="30BF5C7C" w14:textId="77777777" w:rsidR="009C4D01" w:rsidRDefault="009C4D01" w:rsidP="009C4D01">
      <w:pPr>
        <w:rPr>
          <w:sz w:val="44"/>
          <w:szCs w:val="44"/>
        </w:rPr>
      </w:pPr>
    </w:p>
    <w:p w14:paraId="384BCB9A" w14:textId="77777777" w:rsidR="009C4D01" w:rsidRDefault="009C4D01" w:rsidP="009C4D01">
      <w:pPr>
        <w:rPr>
          <w:sz w:val="44"/>
          <w:szCs w:val="44"/>
        </w:rPr>
      </w:pPr>
    </w:p>
    <w:p w14:paraId="4ED8FD4B" w14:textId="77777777" w:rsidR="004A48F7" w:rsidRDefault="004A48F7" w:rsidP="009C4D01">
      <w:pPr>
        <w:rPr>
          <w:sz w:val="44"/>
          <w:szCs w:val="44"/>
        </w:rPr>
      </w:pPr>
    </w:p>
    <w:p w14:paraId="683D9E68" w14:textId="11CD6DEF" w:rsidR="009C4D01" w:rsidRPr="00EF479C" w:rsidRDefault="00EF479C" w:rsidP="009C4D01">
      <w:pPr>
        <w:rPr>
          <w:b/>
          <w:bCs/>
          <w:sz w:val="40"/>
          <w:szCs w:val="40"/>
        </w:rPr>
      </w:pPr>
      <w:r w:rsidRPr="00EF479C">
        <w:rPr>
          <w:b/>
          <w:bCs/>
          <w:sz w:val="40"/>
          <w:szCs w:val="40"/>
        </w:rPr>
        <w:t>Cumbria Clean Energy: Workforce Skills Requirement</w:t>
      </w:r>
    </w:p>
    <w:p w14:paraId="1EF2F0AC" w14:textId="77777777" w:rsidR="009C4D01" w:rsidRDefault="009C4D01" w:rsidP="009C4D01"/>
    <w:p w14:paraId="6907B7BF" w14:textId="77777777" w:rsidR="009C4D01" w:rsidRDefault="009C4D01" w:rsidP="009C4D01"/>
    <w:p w14:paraId="71771FFC" w14:textId="77777777" w:rsidR="00DF0818" w:rsidRDefault="00DF0818" w:rsidP="009C4D01"/>
    <w:p w14:paraId="2B6D4E29" w14:textId="77777777" w:rsidR="00DF0818" w:rsidRDefault="00DF0818" w:rsidP="009C4D01"/>
    <w:p w14:paraId="6B4F752E" w14:textId="77777777" w:rsidR="00EF479C" w:rsidRDefault="00EF479C" w:rsidP="009C4D01"/>
    <w:p w14:paraId="350C1703" w14:textId="77777777" w:rsidR="004A48F7" w:rsidRDefault="004A48F7" w:rsidP="009C4D01"/>
    <w:p w14:paraId="457CD203" w14:textId="77777777" w:rsidR="004A48F7" w:rsidRDefault="004A48F7" w:rsidP="009C4D01"/>
    <w:p w14:paraId="5479B8E7" w14:textId="77777777" w:rsidR="009C4D01" w:rsidRDefault="009C4D01" w:rsidP="009C4D01"/>
    <w:p w14:paraId="0252D66F" w14:textId="19C4607A" w:rsidR="009C4D01" w:rsidRDefault="00CE5741" w:rsidP="009C4D01">
      <w:r>
        <w:rPr>
          <w:noProof/>
        </w:rPr>
        <w:drawing>
          <wp:inline distT="0" distB="0" distL="0" distR="0" wp14:anchorId="1DB5F7AC" wp14:editId="68EB42AB">
            <wp:extent cx="2536286" cy="388620"/>
            <wp:effectExtent l="0" t="0" r="0" b="0"/>
            <wp:docPr id="1439121686" name="Picture 1"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21686" name="Picture 1" descr="A picture containing text, graphics, font, graphic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1429" cy="390940"/>
                    </a:xfrm>
                    <a:prstGeom prst="rect">
                      <a:avLst/>
                    </a:prstGeom>
                    <a:noFill/>
                    <a:ln>
                      <a:noFill/>
                    </a:ln>
                  </pic:spPr>
                </pic:pic>
              </a:graphicData>
            </a:graphic>
          </wp:inline>
        </w:drawing>
      </w:r>
      <w:r w:rsidR="00EF479C">
        <w:rPr>
          <w:noProof/>
        </w:rPr>
        <w:drawing>
          <wp:anchor distT="0" distB="0" distL="114300" distR="114300" simplePos="0" relativeHeight="251661312" behindDoc="0" locked="0" layoutInCell="1" allowOverlap="1" wp14:anchorId="73629DB0" wp14:editId="2AC32C49">
            <wp:simplePos x="0" y="0"/>
            <wp:positionH relativeFrom="margin">
              <wp:posOffset>3470910</wp:posOffset>
            </wp:positionH>
            <wp:positionV relativeFrom="paragraph">
              <wp:posOffset>45085</wp:posOffset>
            </wp:positionV>
            <wp:extent cx="2260716" cy="774740"/>
            <wp:effectExtent l="0" t="0" r="0" b="0"/>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60716" cy="774740"/>
                    </a:xfrm>
                    <a:prstGeom prst="rect">
                      <a:avLst/>
                    </a:prstGeom>
                  </pic:spPr>
                </pic:pic>
              </a:graphicData>
            </a:graphic>
          </wp:anchor>
        </w:drawing>
      </w:r>
    </w:p>
    <w:p w14:paraId="3EF90C88" w14:textId="62F5EFE6" w:rsidR="009C4D01" w:rsidRDefault="003E42BD" w:rsidP="009C4D01">
      <w:pPr>
        <w:rPr>
          <w:sz w:val="32"/>
          <w:szCs w:val="32"/>
        </w:rPr>
      </w:pPr>
      <w:r>
        <w:rPr>
          <w:sz w:val="32"/>
          <w:szCs w:val="32"/>
        </w:rPr>
        <w:t>June</w:t>
      </w:r>
      <w:r w:rsidR="009C4D01">
        <w:rPr>
          <w:sz w:val="32"/>
          <w:szCs w:val="32"/>
        </w:rPr>
        <w:t xml:space="preserve"> 2023</w:t>
      </w:r>
    </w:p>
    <w:sdt>
      <w:sdtPr>
        <w:rPr>
          <w:rFonts w:asciiTheme="minorHAnsi" w:eastAsiaTheme="minorHAnsi" w:hAnsiTheme="minorHAnsi" w:cstheme="minorBidi"/>
          <w:color w:val="auto"/>
          <w:kern w:val="2"/>
          <w:sz w:val="22"/>
          <w:szCs w:val="22"/>
          <w:lang w:val="en-GB"/>
          <w14:ligatures w14:val="standardContextual"/>
        </w:rPr>
        <w:id w:val="563071394"/>
        <w:docPartObj>
          <w:docPartGallery w:val="Table of Contents"/>
          <w:docPartUnique/>
        </w:docPartObj>
      </w:sdtPr>
      <w:sdtEndPr>
        <w:rPr>
          <w:b/>
          <w:bCs/>
          <w:noProof/>
        </w:rPr>
      </w:sdtEndPr>
      <w:sdtContent>
        <w:p w14:paraId="356C9288" w14:textId="0C1B5CE9" w:rsidR="008E35E3" w:rsidRDefault="008E35E3">
          <w:pPr>
            <w:pStyle w:val="TOCHeading"/>
          </w:pPr>
          <w:r>
            <w:t>Contents</w:t>
          </w:r>
        </w:p>
        <w:p w14:paraId="28F981E3" w14:textId="36E716F4" w:rsidR="00127437" w:rsidRDefault="008E35E3">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35938250" w:history="1">
            <w:r w:rsidR="00127437" w:rsidRPr="00C03AF8">
              <w:rPr>
                <w:rStyle w:val="Hyperlink"/>
                <w:noProof/>
              </w:rPr>
              <w:t>1.</w:t>
            </w:r>
            <w:r w:rsidR="00127437">
              <w:rPr>
                <w:rFonts w:eastAsiaTheme="minorEastAsia"/>
                <w:noProof/>
                <w:lang w:eastAsia="en-GB"/>
              </w:rPr>
              <w:t xml:space="preserve"> </w:t>
            </w:r>
            <w:r w:rsidR="00127437" w:rsidRPr="00C03AF8">
              <w:rPr>
                <w:rStyle w:val="Hyperlink"/>
                <w:noProof/>
              </w:rPr>
              <w:t>Executive Summary</w:t>
            </w:r>
            <w:r w:rsidR="00127437">
              <w:rPr>
                <w:noProof/>
                <w:webHidden/>
              </w:rPr>
              <w:tab/>
            </w:r>
            <w:r w:rsidR="00127437">
              <w:rPr>
                <w:noProof/>
                <w:webHidden/>
              </w:rPr>
              <w:fldChar w:fldCharType="begin"/>
            </w:r>
            <w:r w:rsidR="00127437">
              <w:rPr>
                <w:noProof/>
                <w:webHidden/>
              </w:rPr>
              <w:instrText xml:space="preserve"> PAGEREF _Toc135938250 \h </w:instrText>
            </w:r>
            <w:r w:rsidR="00127437">
              <w:rPr>
                <w:noProof/>
                <w:webHidden/>
              </w:rPr>
            </w:r>
            <w:r w:rsidR="00127437">
              <w:rPr>
                <w:noProof/>
                <w:webHidden/>
              </w:rPr>
              <w:fldChar w:fldCharType="separate"/>
            </w:r>
            <w:r w:rsidR="000467B4">
              <w:rPr>
                <w:noProof/>
                <w:webHidden/>
              </w:rPr>
              <w:t>3</w:t>
            </w:r>
            <w:r w:rsidR="00127437">
              <w:rPr>
                <w:noProof/>
                <w:webHidden/>
              </w:rPr>
              <w:fldChar w:fldCharType="end"/>
            </w:r>
          </w:hyperlink>
        </w:p>
        <w:p w14:paraId="06F8A0C8" w14:textId="4BE251DB" w:rsidR="00127437" w:rsidRDefault="00000000">
          <w:pPr>
            <w:pStyle w:val="TOC1"/>
            <w:tabs>
              <w:tab w:val="right" w:leader="dot" w:pos="9016"/>
            </w:tabs>
            <w:rPr>
              <w:rFonts w:eastAsiaTheme="minorEastAsia"/>
              <w:noProof/>
              <w:lang w:eastAsia="en-GB"/>
            </w:rPr>
          </w:pPr>
          <w:hyperlink w:anchor="_Toc135938251" w:history="1">
            <w:r w:rsidR="00127437" w:rsidRPr="00C03AF8">
              <w:rPr>
                <w:rStyle w:val="Hyperlink"/>
                <w:noProof/>
              </w:rPr>
              <w:t>2. Introduction</w:t>
            </w:r>
            <w:r w:rsidR="00127437">
              <w:rPr>
                <w:noProof/>
                <w:webHidden/>
              </w:rPr>
              <w:tab/>
            </w:r>
            <w:r w:rsidR="00127437">
              <w:rPr>
                <w:noProof/>
                <w:webHidden/>
              </w:rPr>
              <w:fldChar w:fldCharType="begin"/>
            </w:r>
            <w:r w:rsidR="00127437">
              <w:rPr>
                <w:noProof/>
                <w:webHidden/>
              </w:rPr>
              <w:instrText xml:space="preserve"> PAGEREF _Toc135938251 \h </w:instrText>
            </w:r>
            <w:r w:rsidR="00127437">
              <w:rPr>
                <w:noProof/>
                <w:webHidden/>
              </w:rPr>
            </w:r>
            <w:r w:rsidR="00127437">
              <w:rPr>
                <w:noProof/>
                <w:webHidden/>
              </w:rPr>
              <w:fldChar w:fldCharType="separate"/>
            </w:r>
            <w:r w:rsidR="000467B4">
              <w:rPr>
                <w:noProof/>
                <w:webHidden/>
              </w:rPr>
              <w:t>4</w:t>
            </w:r>
            <w:r w:rsidR="00127437">
              <w:rPr>
                <w:noProof/>
                <w:webHidden/>
              </w:rPr>
              <w:fldChar w:fldCharType="end"/>
            </w:r>
          </w:hyperlink>
        </w:p>
        <w:p w14:paraId="0B3CDECB" w14:textId="5AF2D9F8" w:rsidR="00127437" w:rsidRDefault="00000000">
          <w:pPr>
            <w:pStyle w:val="TOC2"/>
            <w:tabs>
              <w:tab w:val="right" w:leader="dot" w:pos="9016"/>
            </w:tabs>
            <w:rPr>
              <w:rFonts w:eastAsiaTheme="minorEastAsia"/>
              <w:noProof/>
              <w:lang w:eastAsia="en-GB"/>
            </w:rPr>
          </w:pPr>
          <w:hyperlink w:anchor="_Toc135938252" w:history="1">
            <w:r w:rsidR="00127437" w:rsidRPr="00C03AF8">
              <w:rPr>
                <w:rStyle w:val="Hyperlink"/>
                <w:noProof/>
              </w:rPr>
              <w:t>2.1 Background</w:t>
            </w:r>
            <w:r w:rsidR="00127437">
              <w:rPr>
                <w:noProof/>
                <w:webHidden/>
              </w:rPr>
              <w:tab/>
            </w:r>
            <w:r w:rsidR="00127437">
              <w:rPr>
                <w:noProof/>
                <w:webHidden/>
              </w:rPr>
              <w:fldChar w:fldCharType="begin"/>
            </w:r>
            <w:r w:rsidR="00127437">
              <w:rPr>
                <w:noProof/>
                <w:webHidden/>
              </w:rPr>
              <w:instrText xml:space="preserve"> PAGEREF _Toc135938252 \h </w:instrText>
            </w:r>
            <w:r w:rsidR="00127437">
              <w:rPr>
                <w:noProof/>
                <w:webHidden/>
              </w:rPr>
            </w:r>
            <w:r w:rsidR="00127437">
              <w:rPr>
                <w:noProof/>
                <w:webHidden/>
              </w:rPr>
              <w:fldChar w:fldCharType="separate"/>
            </w:r>
            <w:r w:rsidR="000467B4">
              <w:rPr>
                <w:noProof/>
                <w:webHidden/>
              </w:rPr>
              <w:t>4</w:t>
            </w:r>
            <w:r w:rsidR="00127437">
              <w:rPr>
                <w:noProof/>
                <w:webHidden/>
              </w:rPr>
              <w:fldChar w:fldCharType="end"/>
            </w:r>
          </w:hyperlink>
        </w:p>
        <w:p w14:paraId="393BC5D2" w14:textId="02B4DA3E" w:rsidR="00127437" w:rsidRDefault="00000000">
          <w:pPr>
            <w:pStyle w:val="TOC2"/>
            <w:tabs>
              <w:tab w:val="right" w:leader="dot" w:pos="9016"/>
            </w:tabs>
            <w:rPr>
              <w:rFonts w:eastAsiaTheme="minorEastAsia"/>
              <w:noProof/>
              <w:lang w:eastAsia="en-GB"/>
            </w:rPr>
          </w:pPr>
          <w:hyperlink w:anchor="_Toc135938253" w:history="1">
            <w:r w:rsidR="00127437" w:rsidRPr="00C03AF8">
              <w:rPr>
                <w:rStyle w:val="Hyperlink"/>
                <w:noProof/>
              </w:rPr>
              <w:t>2.2 Scope and requirement</w:t>
            </w:r>
            <w:r w:rsidR="00127437">
              <w:rPr>
                <w:noProof/>
                <w:webHidden/>
              </w:rPr>
              <w:tab/>
            </w:r>
            <w:r w:rsidR="00127437">
              <w:rPr>
                <w:noProof/>
                <w:webHidden/>
              </w:rPr>
              <w:fldChar w:fldCharType="begin"/>
            </w:r>
            <w:r w:rsidR="00127437">
              <w:rPr>
                <w:noProof/>
                <w:webHidden/>
              </w:rPr>
              <w:instrText xml:space="preserve"> PAGEREF _Toc135938253 \h </w:instrText>
            </w:r>
            <w:r w:rsidR="00127437">
              <w:rPr>
                <w:noProof/>
                <w:webHidden/>
              </w:rPr>
            </w:r>
            <w:r w:rsidR="00127437">
              <w:rPr>
                <w:noProof/>
                <w:webHidden/>
              </w:rPr>
              <w:fldChar w:fldCharType="separate"/>
            </w:r>
            <w:r w:rsidR="000467B4">
              <w:rPr>
                <w:noProof/>
                <w:webHidden/>
              </w:rPr>
              <w:t>4</w:t>
            </w:r>
            <w:r w:rsidR="00127437">
              <w:rPr>
                <w:noProof/>
                <w:webHidden/>
              </w:rPr>
              <w:fldChar w:fldCharType="end"/>
            </w:r>
          </w:hyperlink>
        </w:p>
        <w:p w14:paraId="4520EC58" w14:textId="7F61D0AC" w:rsidR="00127437" w:rsidRDefault="00000000">
          <w:pPr>
            <w:pStyle w:val="TOC2"/>
            <w:tabs>
              <w:tab w:val="right" w:leader="dot" w:pos="9016"/>
            </w:tabs>
            <w:rPr>
              <w:rFonts w:eastAsiaTheme="minorEastAsia"/>
              <w:noProof/>
              <w:lang w:eastAsia="en-GB"/>
            </w:rPr>
          </w:pPr>
          <w:hyperlink w:anchor="_Toc135938254" w:history="1">
            <w:r w:rsidR="00127437" w:rsidRPr="00C03AF8">
              <w:rPr>
                <w:rStyle w:val="Hyperlink"/>
                <w:noProof/>
              </w:rPr>
              <w:t>2.3 Method</w:t>
            </w:r>
            <w:r w:rsidR="00127437">
              <w:rPr>
                <w:noProof/>
                <w:webHidden/>
              </w:rPr>
              <w:tab/>
            </w:r>
            <w:r w:rsidR="00127437">
              <w:rPr>
                <w:noProof/>
                <w:webHidden/>
              </w:rPr>
              <w:fldChar w:fldCharType="begin"/>
            </w:r>
            <w:r w:rsidR="00127437">
              <w:rPr>
                <w:noProof/>
                <w:webHidden/>
              </w:rPr>
              <w:instrText xml:space="preserve"> PAGEREF _Toc135938254 \h </w:instrText>
            </w:r>
            <w:r w:rsidR="00127437">
              <w:rPr>
                <w:noProof/>
                <w:webHidden/>
              </w:rPr>
            </w:r>
            <w:r w:rsidR="00127437">
              <w:rPr>
                <w:noProof/>
                <w:webHidden/>
              </w:rPr>
              <w:fldChar w:fldCharType="separate"/>
            </w:r>
            <w:r w:rsidR="000467B4">
              <w:rPr>
                <w:noProof/>
                <w:webHidden/>
              </w:rPr>
              <w:t>5</w:t>
            </w:r>
            <w:r w:rsidR="00127437">
              <w:rPr>
                <w:noProof/>
                <w:webHidden/>
              </w:rPr>
              <w:fldChar w:fldCharType="end"/>
            </w:r>
          </w:hyperlink>
        </w:p>
        <w:p w14:paraId="1B17CAC1" w14:textId="24482C53" w:rsidR="00127437" w:rsidRDefault="00000000">
          <w:pPr>
            <w:pStyle w:val="TOC1"/>
            <w:tabs>
              <w:tab w:val="right" w:leader="dot" w:pos="9016"/>
            </w:tabs>
            <w:rPr>
              <w:rFonts w:eastAsiaTheme="minorEastAsia"/>
              <w:noProof/>
              <w:lang w:eastAsia="en-GB"/>
            </w:rPr>
          </w:pPr>
          <w:hyperlink w:anchor="_Toc135938255" w:history="1">
            <w:r w:rsidR="00127437" w:rsidRPr="00C03AF8">
              <w:rPr>
                <w:rStyle w:val="Hyperlink"/>
                <w:noProof/>
              </w:rPr>
              <w:t>3. Literature review</w:t>
            </w:r>
            <w:r w:rsidR="00127437">
              <w:rPr>
                <w:noProof/>
                <w:webHidden/>
              </w:rPr>
              <w:tab/>
            </w:r>
            <w:r w:rsidR="00127437">
              <w:rPr>
                <w:noProof/>
                <w:webHidden/>
              </w:rPr>
              <w:fldChar w:fldCharType="begin"/>
            </w:r>
            <w:r w:rsidR="00127437">
              <w:rPr>
                <w:noProof/>
                <w:webHidden/>
              </w:rPr>
              <w:instrText xml:space="preserve"> PAGEREF _Toc135938255 \h </w:instrText>
            </w:r>
            <w:r w:rsidR="00127437">
              <w:rPr>
                <w:noProof/>
                <w:webHidden/>
              </w:rPr>
            </w:r>
            <w:r w:rsidR="00127437">
              <w:rPr>
                <w:noProof/>
                <w:webHidden/>
              </w:rPr>
              <w:fldChar w:fldCharType="separate"/>
            </w:r>
            <w:r w:rsidR="000467B4">
              <w:rPr>
                <w:noProof/>
                <w:webHidden/>
              </w:rPr>
              <w:t>6</w:t>
            </w:r>
            <w:r w:rsidR="00127437">
              <w:rPr>
                <w:noProof/>
                <w:webHidden/>
              </w:rPr>
              <w:fldChar w:fldCharType="end"/>
            </w:r>
          </w:hyperlink>
        </w:p>
        <w:p w14:paraId="7ACA1F55" w14:textId="49C9FC33" w:rsidR="00127437" w:rsidRDefault="00000000">
          <w:pPr>
            <w:pStyle w:val="TOC2"/>
            <w:tabs>
              <w:tab w:val="right" w:leader="dot" w:pos="9016"/>
            </w:tabs>
            <w:rPr>
              <w:rFonts w:eastAsiaTheme="minorEastAsia"/>
              <w:noProof/>
              <w:lang w:eastAsia="en-GB"/>
            </w:rPr>
          </w:pPr>
          <w:hyperlink w:anchor="_Toc135938256" w:history="1">
            <w:r w:rsidR="00127437" w:rsidRPr="00C03AF8">
              <w:rPr>
                <w:rStyle w:val="Hyperlink"/>
                <w:noProof/>
              </w:rPr>
              <w:t>3.1 Key national strategies and plans</w:t>
            </w:r>
            <w:r w:rsidR="00127437">
              <w:rPr>
                <w:noProof/>
                <w:webHidden/>
              </w:rPr>
              <w:tab/>
            </w:r>
            <w:r w:rsidR="00127437">
              <w:rPr>
                <w:noProof/>
                <w:webHidden/>
              </w:rPr>
              <w:fldChar w:fldCharType="begin"/>
            </w:r>
            <w:r w:rsidR="00127437">
              <w:rPr>
                <w:noProof/>
                <w:webHidden/>
              </w:rPr>
              <w:instrText xml:space="preserve"> PAGEREF _Toc135938256 \h </w:instrText>
            </w:r>
            <w:r w:rsidR="00127437">
              <w:rPr>
                <w:noProof/>
                <w:webHidden/>
              </w:rPr>
            </w:r>
            <w:r w:rsidR="00127437">
              <w:rPr>
                <w:noProof/>
                <w:webHidden/>
              </w:rPr>
              <w:fldChar w:fldCharType="separate"/>
            </w:r>
            <w:r w:rsidR="000467B4">
              <w:rPr>
                <w:noProof/>
                <w:webHidden/>
              </w:rPr>
              <w:t>6</w:t>
            </w:r>
            <w:r w:rsidR="00127437">
              <w:rPr>
                <w:noProof/>
                <w:webHidden/>
              </w:rPr>
              <w:fldChar w:fldCharType="end"/>
            </w:r>
          </w:hyperlink>
        </w:p>
        <w:p w14:paraId="3720FC30" w14:textId="105EF8C1" w:rsidR="00127437" w:rsidRDefault="00000000">
          <w:pPr>
            <w:pStyle w:val="TOC2"/>
            <w:tabs>
              <w:tab w:val="right" w:leader="dot" w:pos="9016"/>
            </w:tabs>
            <w:rPr>
              <w:rFonts w:eastAsiaTheme="minorEastAsia"/>
              <w:noProof/>
              <w:lang w:eastAsia="en-GB"/>
            </w:rPr>
          </w:pPr>
          <w:hyperlink w:anchor="_Toc135938257" w:history="1">
            <w:r w:rsidR="00127437" w:rsidRPr="00C03AF8">
              <w:rPr>
                <w:rStyle w:val="Hyperlink"/>
                <w:noProof/>
              </w:rPr>
              <w:t>3.2 Key local strategies and plans</w:t>
            </w:r>
            <w:r w:rsidR="00127437">
              <w:rPr>
                <w:noProof/>
                <w:webHidden/>
              </w:rPr>
              <w:tab/>
            </w:r>
            <w:r w:rsidR="00127437">
              <w:rPr>
                <w:noProof/>
                <w:webHidden/>
              </w:rPr>
              <w:fldChar w:fldCharType="begin"/>
            </w:r>
            <w:r w:rsidR="00127437">
              <w:rPr>
                <w:noProof/>
                <w:webHidden/>
              </w:rPr>
              <w:instrText xml:space="preserve"> PAGEREF _Toc135938257 \h </w:instrText>
            </w:r>
            <w:r w:rsidR="00127437">
              <w:rPr>
                <w:noProof/>
                <w:webHidden/>
              </w:rPr>
            </w:r>
            <w:r w:rsidR="00127437">
              <w:rPr>
                <w:noProof/>
                <w:webHidden/>
              </w:rPr>
              <w:fldChar w:fldCharType="separate"/>
            </w:r>
            <w:r w:rsidR="000467B4">
              <w:rPr>
                <w:noProof/>
                <w:webHidden/>
              </w:rPr>
              <w:t>7</w:t>
            </w:r>
            <w:r w:rsidR="00127437">
              <w:rPr>
                <w:noProof/>
                <w:webHidden/>
              </w:rPr>
              <w:fldChar w:fldCharType="end"/>
            </w:r>
          </w:hyperlink>
        </w:p>
        <w:p w14:paraId="07777E1B" w14:textId="256B3A34" w:rsidR="00127437" w:rsidRDefault="00000000">
          <w:pPr>
            <w:pStyle w:val="TOC2"/>
            <w:tabs>
              <w:tab w:val="right" w:leader="dot" w:pos="9016"/>
            </w:tabs>
            <w:rPr>
              <w:rFonts w:eastAsiaTheme="minorEastAsia"/>
              <w:noProof/>
              <w:lang w:eastAsia="en-GB"/>
            </w:rPr>
          </w:pPr>
          <w:hyperlink w:anchor="_Toc135938258" w:history="1">
            <w:r w:rsidR="00127437" w:rsidRPr="00C03AF8">
              <w:rPr>
                <w:rStyle w:val="Hyperlink"/>
                <w:noProof/>
              </w:rPr>
              <w:t>3.3 Plans and strategies relating to clean energy generation technologies</w:t>
            </w:r>
            <w:r w:rsidR="00127437">
              <w:rPr>
                <w:noProof/>
                <w:webHidden/>
              </w:rPr>
              <w:tab/>
            </w:r>
            <w:r w:rsidR="00127437">
              <w:rPr>
                <w:noProof/>
                <w:webHidden/>
              </w:rPr>
              <w:fldChar w:fldCharType="begin"/>
            </w:r>
            <w:r w:rsidR="00127437">
              <w:rPr>
                <w:noProof/>
                <w:webHidden/>
              </w:rPr>
              <w:instrText xml:space="preserve"> PAGEREF _Toc135938258 \h </w:instrText>
            </w:r>
            <w:r w:rsidR="00127437">
              <w:rPr>
                <w:noProof/>
                <w:webHidden/>
              </w:rPr>
            </w:r>
            <w:r w:rsidR="00127437">
              <w:rPr>
                <w:noProof/>
                <w:webHidden/>
              </w:rPr>
              <w:fldChar w:fldCharType="separate"/>
            </w:r>
            <w:r w:rsidR="000467B4">
              <w:rPr>
                <w:noProof/>
                <w:webHidden/>
              </w:rPr>
              <w:t>8</w:t>
            </w:r>
            <w:r w:rsidR="00127437">
              <w:rPr>
                <w:noProof/>
                <w:webHidden/>
              </w:rPr>
              <w:fldChar w:fldCharType="end"/>
            </w:r>
          </w:hyperlink>
        </w:p>
        <w:p w14:paraId="0E2D7BEC" w14:textId="503A15AD" w:rsidR="00127437" w:rsidRDefault="00000000">
          <w:pPr>
            <w:pStyle w:val="TOC2"/>
            <w:tabs>
              <w:tab w:val="right" w:leader="dot" w:pos="9016"/>
            </w:tabs>
            <w:rPr>
              <w:rFonts w:eastAsiaTheme="minorEastAsia"/>
              <w:noProof/>
              <w:lang w:eastAsia="en-GB"/>
            </w:rPr>
          </w:pPr>
          <w:hyperlink w:anchor="_Toc135938259" w:history="1">
            <w:r w:rsidR="00127437" w:rsidRPr="00C03AF8">
              <w:rPr>
                <w:rStyle w:val="Hyperlink"/>
                <w:noProof/>
              </w:rPr>
              <w:t>3.4 Summary: Literature review</w:t>
            </w:r>
            <w:r w:rsidR="00127437">
              <w:rPr>
                <w:noProof/>
                <w:webHidden/>
              </w:rPr>
              <w:tab/>
            </w:r>
            <w:r w:rsidR="00127437">
              <w:rPr>
                <w:noProof/>
                <w:webHidden/>
              </w:rPr>
              <w:fldChar w:fldCharType="begin"/>
            </w:r>
            <w:r w:rsidR="00127437">
              <w:rPr>
                <w:noProof/>
                <w:webHidden/>
              </w:rPr>
              <w:instrText xml:space="preserve"> PAGEREF _Toc135938259 \h </w:instrText>
            </w:r>
            <w:r w:rsidR="00127437">
              <w:rPr>
                <w:noProof/>
                <w:webHidden/>
              </w:rPr>
            </w:r>
            <w:r w:rsidR="00127437">
              <w:rPr>
                <w:noProof/>
                <w:webHidden/>
              </w:rPr>
              <w:fldChar w:fldCharType="separate"/>
            </w:r>
            <w:r w:rsidR="000467B4">
              <w:rPr>
                <w:noProof/>
                <w:webHidden/>
              </w:rPr>
              <w:t>11</w:t>
            </w:r>
            <w:r w:rsidR="00127437">
              <w:rPr>
                <w:noProof/>
                <w:webHidden/>
              </w:rPr>
              <w:fldChar w:fldCharType="end"/>
            </w:r>
          </w:hyperlink>
        </w:p>
        <w:p w14:paraId="01F7C35C" w14:textId="475A32F7" w:rsidR="00127437" w:rsidRDefault="00000000">
          <w:pPr>
            <w:pStyle w:val="TOC1"/>
            <w:tabs>
              <w:tab w:val="right" w:leader="dot" w:pos="9016"/>
            </w:tabs>
            <w:rPr>
              <w:rFonts w:eastAsiaTheme="minorEastAsia"/>
              <w:noProof/>
              <w:lang w:eastAsia="en-GB"/>
            </w:rPr>
          </w:pPr>
          <w:hyperlink w:anchor="_Toc135938260" w:history="1">
            <w:r w:rsidR="00127437" w:rsidRPr="00C03AF8">
              <w:rPr>
                <w:rStyle w:val="Hyperlink"/>
                <w:noProof/>
              </w:rPr>
              <w:t>4. Data review</w:t>
            </w:r>
            <w:r w:rsidR="00127437">
              <w:rPr>
                <w:noProof/>
                <w:webHidden/>
              </w:rPr>
              <w:tab/>
            </w:r>
            <w:r w:rsidR="00127437">
              <w:rPr>
                <w:noProof/>
                <w:webHidden/>
              </w:rPr>
              <w:fldChar w:fldCharType="begin"/>
            </w:r>
            <w:r w:rsidR="00127437">
              <w:rPr>
                <w:noProof/>
                <w:webHidden/>
              </w:rPr>
              <w:instrText xml:space="preserve"> PAGEREF _Toc135938260 \h </w:instrText>
            </w:r>
            <w:r w:rsidR="00127437">
              <w:rPr>
                <w:noProof/>
                <w:webHidden/>
              </w:rPr>
            </w:r>
            <w:r w:rsidR="00127437">
              <w:rPr>
                <w:noProof/>
                <w:webHidden/>
              </w:rPr>
              <w:fldChar w:fldCharType="separate"/>
            </w:r>
            <w:r w:rsidR="000467B4">
              <w:rPr>
                <w:noProof/>
                <w:webHidden/>
              </w:rPr>
              <w:t>12</w:t>
            </w:r>
            <w:r w:rsidR="00127437">
              <w:rPr>
                <w:noProof/>
                <w:webHidden/>
              </w:rPr>
              <w:fldChar w:fldCharType="end"/>
            </w:r>
          </w:hyperlink>
        </w:p>
        <w:p w14:paraId="190E63DC" w14:textId="5013A354" w:rsidR="00127437" w:rsidRDefault="00000000">
          <w:pPr>
            <w:pStyle w:val="TOC2"/>
            <w:tabs>
              <w:tab w:val="right" w:leader="dot" w:pos="9016"/>
            </w:tabs>
            <w:rPr>
              <w:rFonts w:eastAsiaTheme="minorEastAsia"/>
              <w:noProof/>
              <w:lang w:eastAsia="en-GB"/>
            </w:rPr>
          </w:pPr>
          <w:hyperlink w:anchor="_Toc135938261" w:history="1">
            <w:r w:rsidR="00127437" w:rsidRPr="00C03AF8">
              <w:rPr>
                <w:rStyle w:val="Hyperlink"/>
                <w:noProof/>
              </w:rPr>
              <w:t>4.1 Cumbria’s economy and employers</w:t>
            </w:r>
            <w:r w:rsidR="00127437">
              <w:rPr>
                <w:noProof/>
                <w:webHidden/>
              </w:rPr>
              <w:tab/>
            </w:r>
            <w:r w:rsidR="00127437">
              <w:rPr>
                <w:noProof/>
                <w:webHidden/>
              </w:rPr>
              <w:fldChar w:fldCharType="begin"/>
            </w:r>
            <w:r w:rsidR="00127437">
              <w:rPr>
                <w:noProof/>
                <w:webHidden/>
              </w:rPr>
              <w:instrText xml:space="preserve"> PAGEREF _Toc135938261 \h </w:instrText>
            </w:r>
            <w:r w:rsidR="00127437">
              <w:rPr>
                <w:noProof/>
                <w:webHidden/>
              </w:rPr>
            </w:r>
            <w:r w:rsidR="00127437">
              <w:rPr>
                <w:noProof/>
                <w:webHidden/>
              </w:rPr>
              <w:fldChar w:fldCharType="separate"/>
            </w:r>
            <w:r w:rsidR="000467B4">
              <w:rPr>
                <w:noProof/>
                <w:webHidden/>
              </w:rPr>
              <w:t>12</w:t>
            </w:r>
            <w:r w:rsidR="00127437">
              <w:rPr>
                <w:noProof/>
                <w:webHidden/>
              </w:rPr>
              <w:fldChar w:fldCharType="end"/>
            </w:r>
          </w:hyperlink>
        </w:p>
        <w:p w14:paraId="5819B4AE" w14:textId="36275AD1" w:rsidR="00127437" w:rsidRDefault="00000000">
          <w:pPr>
            <w:pStyle w:val="TOC2"/>
            <w:tabs>
              <w:tab w:val="right" w:leader="dot" w:pos="9016"/>
            </w:tabs>
            <w:rPr>
              <w:rFonts w:eastAsiaTheme="minorEastAsia"/>
              <w:noProof/>
              <w:lang w:eastAsia="en-GB"/>
            </w:rPr>
          </w:pPr>
          <w:hyperlink w:anchor="_Toc135938262" w:history="1">
            <w:r w:rsidR="00127437" w:rsidRPr="00C03AF8">
              <w:rPr>
                <w:rStyle w:val="Hyperlink"/>
                <w:noProof/>
              </w:rPr>
              <w:t>4.2 Key projects: Past, current and future</w:t>
            </w:r>
            <w:r w:rsidR="00127437">
              <w:rPr>
                <w:noProof/>
                <w:webHidden/>
              </w:rPr>
              <w:tab/>
            </w:r>
            <w:r w:rsidR="00127437">
              <w:rPr>
                <w:noProof/>
                <w:webHidden/>
              </w:rPr>
              <w:fldChar w:fldCharType="begin"/>
            </w:r>
            <w:r w:rsidR="00127437">
              <w:rPr>
                <w:noProof/>
                <w:webHidden/>
              </w:rPr>
              <w:instrText xml:space="preserve"> PAGEREF _Toc135938262 \h </w:instrText>
            </w:r>
            <w:r w:rsidR="00127437">
              <w:rPr>
                <w:noProof/>
                <w:webHidden/>
              </w:rPr>
            </w:r>
            <w:r w:rsidR="00127437">
              <w:rPr>
                <w:noProof/>
                <w:webHidden/>
              </w:rPr>
              <w:fldChar w:fldCharType="separate"/>
            </w:r>
            <w:r w:rsidR="000467B4">
              <w:rPr>
                <w:noProof/>
                <w:webHidden/>
              </w:rPr>
              <w:t>13</w:t>
            </w:r>
            <w:r w:rsidR="00127437">
              <w:rPr>
                <w:noProof/>
                <w:webHidden/>
              </w:rPr>
              <w:fldChar w:fldCharType="end"/>
            </w:r>
          </w:hyperlink>
        </w:p>
        <w:p w14:paraId="6D356C2C" w14:textId="40658015" w:rsidR="00127437" w:rsidRDefault="00000000">
          <w:pPr>
            <w:pStyle w:val="TOC2"/>
            <w:tabs>
              <w:tab w:val="right" w:leader="dot" w:pos="9016"/>
            </w:tabs>
            <w:rPr>
              <w:rFonts w:eastAsiaTheme="minorEastAsia"/>
              <w:noProof/>
              <w:lang w:eastAsia="en-GB"/>
            </w:rPr>
          </w:pPr>
          <w:hyperlink w:anchor="_Toc135938263" w:history="1">
            <w:r w:rsidR="00127437" w:rsidRPr="00C03AF8">
              <w:rPr>
                <w:rStyle w:val="Hyperlink"/>
                <w:noProof/>
              </w:rPr>
              <w:t>4.3 Occupations and employment</w:t>
            </w:r>
            <w:r w:rsidR="00127437">
              <w:rPr>
                <w:noProof/>
                <w:webHidden/>
              </w:rPr>
              <w:tab/>
            </w:r>
            <w:r w:rsidR="00127437">
              <w:rPr>
                <w:noProof/>
                <w:webHidden/>
              </w:rPr>
              <w:fldChar w:fldCharType="begin"/>
            </w:r>
            <w:r w:rsidR="00127437">
              <w:rPr>
                <w:noProof/>
                <w:webHidden/>
              </w:rPr>
              <w:instrText xml:space="preserve"> PAGEREF _Toc135938263 \h </w:instrText>
            </w:r>
            <w:r w:rsidR="00127437">
              <w:rPr>
                <w:noProof/>
                <w:webHidden/>
              </w:rPr>
            </w:r>
            <w:r w:rsidR="00127437">
              <w:rPr>
                <w:noProof/>
                <w:webHidden/>
              </w:rPr>
              <w:fldChar w:fldCharType="separate"/>
            </w:r>
            <w:r w:rsidR="000467B4">
              <w:rPr>
                <w:noProof/>
                <w:webHidden/>
              </w:rPr>
              <w:t>14</w:t>
            </w:r>
            <w:r w:rsidR="00127437">
              <w:rPr>
                <w:noProof/>
                <w:webHidden/>
              </w:rPr>
              <w:fldChar w:fldCharType="end"/>
            </w:r>
          </w:hyperlink>
        </w:p>
        <w:p w14:paraId="3583C294" w14:textId="4FCEA6B2" w:rsidR="00127437" w:rsidRDefault="00000000">
          <w:pPr>
            <w:pStyle w:val="TOC2"/>
            <w:tabs>
              <w:tab w:val="right" w:leader="dot" w:pos="9016"/>
            </w:tabs>
            <w:rPr>
              <w:rFonts w:eastAsiaTheme="minorEastAsia"/>
              <w:noProof/>
              <w:lang w:eastAsia="en-GB"/>
            </w:rPr>
          </w:pPr>
          <w:hyperlink w:anchor="_Toc135938264" w:history="1">
            <w:r w:rsidR="00127437" w:rsidRPr="00C03AF8">
              <w:rPr>
                <w:rStyle w:val="Hyperlink"/>
                <w:noProof/>
              </w:rPr>
              <w:t>4.4 Education and training delivery</w:t>
            </w:r>
            <w:r w:rsidR="00127437">
              <w:rPr>
                <w:noProof/>
                <w:webHidden/>
              </w:rPr>
              <w:tab/>
            </w:r>
            <w:r w:rsidR="00127437">
              <w:rPr>
                <w:noProof/>
                <w:webHidden/>
              </w:rPr>
              <w:fldChar w:fldCharType="begin"/>
            </w:r>
            <w:r w:rsidR="00127437">
              <w:rPr>
                <w:noProof/>
                <w:webHidden/>
              </w:rPr>
              <w:instrText xml:space="preserve"> PAGEREF _Toc135938264 \h </w:instrText>
            </w:r>
            <w:r w:rsidR="00127437">
              <w:rPr>
                <w:noProof/>
                <w:webHidden/>
              </w:rPr>
            </w:r>
            <w:r w:rsidR="00127437">
              <w:rPr>
                <w:noProof/>
                <w:webHidden/>
              </w:rPr>
              <w:fldChar w:fldCharType="separate"/>
            </w:r>
            <w:r w:rsidR="000467B4">
              <w:rPr>
                <w:noProof/>
                <w:webHidden/>
              </w:rPr>
              <w:t>17</w:t>
            </w:r>
            <w:r w:rsidR="00127437">
              <w:rPr>
                <w:noProof/>
                <w:webHidden/>
              </w:rPr>
              <w:fldChar w:fldCharType="end"/>
            </w:r>
          </w:hyperlink>
        </w:p>
        <w:p w14:paraId="1ACC8581" w14:textId="6A67A7F2" w:rsidR="00127437" w:rsidRDefault="00000000">
          <w:pPr>
            <w:pStyle w:val="TOC2"/>
            <w:tabs>
              <w:tab w:val="right" w:leader="dot" w:pos="9016"/>
            </w:tabs>
            <w:rPr>
              <w:rFonts w:eastAsiaTheme="minorEastAsia"/>
              <w:noProof/>
              <w:lang w:eastAsia="en-GB"/>
            </w:rPr>
          </w:pPr>
          <w:hyperlink w:anchor="_Toc135938265" w:history="1">
            <w:r w:rsidR="00127437" w:rsidRPr="00C03AF8">
              <w:rPr>
                <w:rStyle w:val="Hyperlink"/>
                <w:noProof/>
              </w:rPr>
              <w:t>4.5 Summary</w:t>
            </w:r>
            <w:r w:rsidR="00127437">
              <w:rPr>
                <w:noProof/>
                <w:webHidden/>
              </w:rPr>
              <w:tab/>
            </w:r>
            <w:r w:rsidR="00127437">
              <w:rPr>
                <w:noProof/>
                <w:webHidden/>
              </w:rPr>
              <w:fldChar w:fldCharType="begin"/>
            </w:r>
            <w:r w:rsidR="00127437">
              <w:rPr>
                <w:noProof/>
                <w:webHidden/>
              </w:rPr>
              <w:instrText xml:space="preserve"> PAGEREF _Toc135938265 \h </w:instrText>
            </w:r>
            <w:r w:rsidR="00127437">
              <w:rPr>
                <w:noProof/>
                <w:webHidden/>
              </w:rPr>
            </w:r>
            <w:r w:rsidR="00127437">
              <w:rPr>
                <w:noProof/>
                <w:webHidden/>
              </w:rPr>
              <w:fldChar w:fldCharType="separate"/>
            </w:r>
            <w:r w:rsidR="000467B4">
              <w:rPr>
                <w:noProof/>
                <w:webHidden/>
              </w:rPr>
              <w:t>18</w:t>
            </w:r>
            <w:r w:rsidR="00127437">
              <w:rPr>
                <w:noProof/>
                <w:webHidden/>
              </w:rPr>
              <w:fldChar w:fldCharType="end"/>
            </w:r>
          </w:hyperlink>
        </w:p>
        <w:p w14:paraId="332A6242" w14:textId="75D06E2C" w:rsidR="00127437" w:rsidRDefault="00000000">
          <w:pPr>
            <w:pStyle w:val="TOC1"/>
            <w:tabs>
              <w:tab w:val="right" w:leader="dot" w:pos="9016"/>
            </w:tabs>
            <w:rPr>
              <w:rFonts w:eastAsiaTheme="minorEastAsia"/>
              <w:noProof/>
              <w:lang w:eastAsia="en-GB"/>
            </w:rPr>
          </w:pPr>
          <w:hyperlink w:anchor="_Toc135938266" w:history="1">
            <w:r w:rsidR="00127437" w:rsidRPr="00C03AF8">
              <w:rPr>
                <w:rStyle w:val="Hyperlink"/>
                <w:noProof/>
              </w:rPr>
              <w:t>5. Qualitative feedback</w:t>
            </w:r>
            <w:r w:rsidR="00127437">
              <w:rPr>
                <w:noProof/>
                <w:webHidden/>
              </w:rPr>
              <w:tab/>
            </w:r>
            <w:r w:rsidR="00127437">
              <w:rPr>
                <w:noProof/>
                <w:webHidden/>
              </w:rPr>
              <w:fldChar w:fldCharType="begin"/>
            </w:r>
            <w:r w:rsidR="00127437">
              <w:rPr>
                <w:noProof/>
                <w:webHidden/>
              </w:rPr>
              <w:instrText xml:space="preserve"> PAGEREF _Toc135938266 \h </w:instrText>
            </w:r>
            <w:r w:rsidR="00127437">
              <w:rPr>
                <w:noProof/>
                <w:webHidden/>
              </w:rPr>
            </w:r>
            <w:r w:rsidR="00127437">
              <w:rPr>
                <w:noProof/>
                <w:webHidden/>
              </w:rPr>
              <w:fldChar w:fldCharType="separate"/>
            </w:r>
            <w:r w:rsidR="000467B4">
              <w:rPr>
                <w:noProof/>
                <w:webHidden/>
              </w:rPr>
              <w:t>19</w:t>
            </w:r>
            <w:r w:rsidR="00127437">
              <w:rPr>
                <w:noProof/>
                <w:webHidden/>
              </w:rPr>
              <w:fldChar w:fldCharType="end"/>
            </w:r>
          </w:hyperlink>
        </w:p>
        <w:p w14:paraId="7C0840E2" w14:textId="4C73A6A2" w:rsidR="00127437" w:rsidRDefault="00000000">
          <w:pPr>
            <w:pStyle w:val="TOC1"/>
            <w:tabs>
              <w:tab w:val="right" w:leader="dot" w:pos="9016"/>
            </w:tabs>
            <w:rPr>
              <w:rFonts w:eastAsiaTheme="minorEastAsia"/>
              <w:noProof/>
              <w:lang w:eastAsia="en-GB"/>
            </w:rPr>
          </w:pPr>
          <w:hyperlink w:anchor="_Toc135938267" w:history="1">
            <w:r w:rsidR="00127437" w:rsidRPr="00C03AF8">
              <w:rPr>
                <w:rStyle w:val="Hyperlink"/>
                <w:noProof/>
              </w:rPr>
              <w:t>6. Analysis and conclusions</w:t>
            </w:r>
            <w:r w:rsidR="00127437">
              <w:rPr>
                <w:noProof/>
                <w:webHidden/>
              </w:rPr>
              <w:tab/>
            </w:r>
            <w:r w:rsidR="00127437">
              <w:rPr>
                <w:noProof/>
                <w:webHidden/>
              </w:rPr>
              <w:fldChar w:fldCharType="begin"/>
            </w:r>
            <w:r w:rsidR="00127437">
              <w:rPr>
                <w:noProof/>
                <w:webHidden/>
              </w:rPr>
              <w:instrText xml:space="preserve"> PAGEREF _Toc135938267 \h </w:instrText>
            </w:r>
            <w:r w:rsidR="00127437">
              <w:rPr>
                <w:noProof/>
                <w:webHidden/>
              </w:rPr>
            </w:r>
            <w:r w:rsidR="00127437">
              <w:rPr>
                <w:noProof/>
                <w:webHidden/>
              </w:rPr>
              <w:fldChar w:fldCharType="separate"/>
            </w:r>
            <w:r w:rsidR="000467B4">
              <w:rPr>
                <w:noProof/>
                <w:webHidden/>
              </w:rPr>
              <w:t>21</w:t>
            </w:r>
            <w:r w:rsidR="00127437">
              <w:rPr>
                <w:noProof/>
                <w:webHidden/>
              </w:rPr>
              <w:fldChar w:fldCharType="end"/>
            </w:r>
          </w:hyperlink>
        </w:p>
        <w:p w14:paraId="63AE262B" w14:textId="3EB65757" w:rsidR="00127437" w:rsidRDefault="00000000">
          <w:pPr>
            <w:pStyle w:val="TOC2"/>
            <w:tabs>
              <w:tab w:val="right" w:leader="dot" w:pos="9016"/>
            </w:tabs>
            <w:rPr>
              <w:rFonts w:eastAsiaTheme="minorEastAsia"/>
              <w:noProof/>
              <w:lang w:eastAsia="en-GB"/>
            </w:rPr>
          </w:pPr>
          <w:hyperlink w:anchor="_Toc135938268" w:history="1">
            <w:r w:rsidR="00127437" w:rsidRPr="00C03AF8">
              <w:rPr>
                <w:rStyle w:val="Hyperlink"/>
                <w:noProof/>
              </w:rPr>
              <w:t>6.1 Clean energy scenarios for Cumbria</w:t>
            </w:r>
            <w:r w:rsidR="00127437">
              <w:rPr>
                <w:noProof/>
                <w:webHidden/>
              </w:rPr>
              <w:tab/>
            </w:r>
            <w:r w:rsidR="00127437">
              <w:rPr>
                <w:noProof/>
                <w:webHidden/>
              </w:rPr>
              <w:fldChar w:fldCharType="begin"/>
            </w:r>
            <w:r w:rsidR="00127437">
              <w:rPr>
                <w:noProof/>
                <w:webHidden/>
              </w:rPr>
              <w:instrText xml:space="preserve"> PAGEREF _Toc135938268 \h </w:instrText>
            </w:r>
            <w:r w:rsidR="00127437">
              <w:rPr>
                <w:noProof/>
                <w:webHidden/>
              </w:rPr>
            </w:r>
            <w:r w:rsidR="00127437">
              <w:rPr>
                <w:noProof/>
                <w:webHidden/>
              </w:rPr>
              <w:fldChar w:fldCharType="separate"/>
            </w:r>
            <w:r w:rsidR="000467B4">
              <w:rPr>
                <w:noProof/>
                <w:webHidden/>
              </w:rPr>
              <w:t>21</w:t>
            </w:r>
            <w:r w:rsidR="00127437">
              <w:rPr>
                <w:noProof/>
                <w:webHidden/>
              </w:rPr>
              <w:fldChar w:fldCharType="end"/>
            </w:r>
          </w:hyperlink>
        </w:p>
        <w:p w14:paraId="2AFB3A6E" w14:textId="10B3808B" w:rsidR="00127437" w:rsidRDefault="00000000">
          <w:pPr>
            <w:pStyle w:val="TOC2"/>
            <w:tabs>
              <w:tab w:val="right" w:leader="dot" w:pos="9016"/>
            </w:tabs>
            <w:rPr>
              <w:rFonts w:eastAsiaTheme="minorEastAsia"/>
              <w:noProof/>
              <w:lang w:eastAsia="en-GB"/>
            </w:rPr>
          </w:pPr>
          <w:hyperlink w:anchor="_Toc135938269" w:history="1">
            <w:r w:rsidR="00127437" w:rsidRPr="00C03AF8">
              <w:rPr>
                <w:rStyle w:val="Hyperlink"/>
                <w:noProof/>
              </w:rPr>
              <w:t>6.2 Key findings – priorities for action</w:t>
            </w:r>
            <w:r w:rsidR="00127437">
              <w:rPr>
                <w:noProof/>
                <w:webHidden/>
              </w:rPr>
              <w:tab/>
            </w:r>
            <w:r w:rsidR="00127437">
              <w:rPr>
                <w:noProof/>
                <w:webHidden/>
              </w:rPr>
              <w:fldChar w:fldCharType="begin"/>
            </w:r>
            <w:r w:rsidR="00127437">
              <w:rPr>
                <w:noProof/>
                <w:webHidden/>
              </w:rPr>
              <w:instrText xml:space="preserve"> PAGEREF _Toc135938269 \h </w:instrText>
            </w:r>
            <w:r w:rsidR="00127437">
              <w:rPr>
                <w:noProof/>
                <w:webHidden/>
              </w:rPr>
            </w:r>
            <w:r w:rsidR="00127437">
              <w:rPr>
                <w:noProof/>
                <w:webHidden/>
              </w:rPr>
              <w:fldChar w:fldCharType="separate"/>
            </w:r>
            <w:r w:rsidR="000467B4">
              <w:rPr>
                <w:noProof/>
                <w:webHidden/>
              </w:rPr>
              <w:t>22</w:t>
            </w:r>
            <w:r w:rsidR="00127437">
              <w:rPr>
                <w:noProof/>
                <w:webHidden/>
              </w:rPr>
              <w:fldChar w:fldCharType="end"/>
            </w:r>
          </w:hyperlink>
        </w:p>
        <w:p w14:paraId="02FD5CA4" w14:textId="1621075E" w:rsidR="00127437" w:rsidRDefault="00000000">
          <w:pPr>
            <w:pStyle w:val="TOC2"/>
            <w:tabs>
              <w:tab w:val="right" w:leader="dot" w:pos="9016"/>
            </w:tabs>
            <w:rPr>
              <w:rFonts w:eastAsiaTheme="minorEastAsia"/>
              <w:noProof/>
              <w:lang w:eastAsia="en-GB"/>
            </w:rPr>
          </w:pPr>
          <w:hyperlink w:anchor="_Toc135938270" w:history="1">
            <w:r w:rsidR="00127437" w:rsidRPr="00C03AF8">
              <w:rPr>
                <w:rStyle w:val="Hyperlink"/>
                <w:noProof/>
              </w:rPr>
              <w:t>6.3 Employer occupational skills needs</w:t>
            </w:r>
            <w:r w:rsidR="00127437">
              <w:rPr>
                <w:noProof/>
                <w:webHidden/>
              </w:rPr>
              <w:tab/>
            </w:r>
            <w:r w:rsidR="00127437">
              <w:rPr>
                <w:noProof/>
                <w:webHidden/>
              </w:rPr>
              <w:fldChar w:fldCharType="begin"/>
            </w:r>
            <w:r w:rsidR="00127437">
              <w:rPr>
                <w:noProof/>
                <w:webHidden/>
              </w:rPr>
              <w:instrText xml:space="preserve"> PAGEREF _Toc135938270 \h </w:instrText>
            </w:r>
            <w:r w:rsidR="00127437">
              <w:rPr>
                <w:noProof/>
                <w:webHidden/>
              </w:rPr>
            </w:r>
            <w:r w:rsidR="00127437">
              <w:rPr>
                <w:noProof/>
                <w:webHidden/>
              </w:rPr>
              <w:fldChar w:fldCharType="separate"/>
            </w:r>
            <w:r w:rsidR="000467B4">
              <w:rPr>
                <w:noProof/>
                <w:webHidden/>
              </w:rPr>
              <w:t>25</w:t>
            </w:r>
            <w:r w:rsidR="00127437">
              <w:rPr>
                <w:noProof/>
                <w:webHidden/>
              </w:rPr>
              <w:fldChar w:fldCharType="end"/>
            </w:r>
          </w:hyperlink>
        </w:p>
        <w:p w14:paraId="4CD7A86A" w14:textId="6C6166AB" w:rsidR="00127437" w:rsidRDefault="00000000">
          <w:pPr>
            <w:pStyle w:val="TOC2"/>
            <w:tabs>
              <w:tab w:val="right" w:leader="dot" w:pos="9016"/>
            </w:tabs>
            <w:rPr>
              <w:rFonts w:eastAsiaTheme="minorEastAsia"/>
              <w:noProof/>
              <w:lang w:eastAsia="en-GB"/>
            </w:rPr>
          </w:pPr>
          <w:hyperlink w:anchor="_Toc135938271" w:history="1">
            <w:r w:rsidR="00127437" w:rsidRPr="00C03AF8">
              <w:rPr>
                <w:rStyle w:val="Hyperlink"/>
                <w:noProof/>
              </w:rPr>
              <w:t>6.4 Way forward</w:t>
            </w:r>
            <w:r w:rsidR="00127437">
              <w:rPr>
                <w:noProof/>
                <w:webHidden/>
              </w:rPr>
              <w:tab/>
            </w:r>
            <w:r w:rsidR="00127437">
              <w:rPr>
                <w:noProof/>
                <w:webHidden/>
              </w:rPr>
              <w:fldChar w:fldCharType="begin"/>
            </w:r>
            <w:r w:rsidR="00127437">
              <w:rPr>
                <w:noProof/>
                <w:webHidden/>
              </w:rPr>
              <w:instrText xml:space="preserve"> PAGEREF _Toc135938271 \h </w:instrText>
            </w:r>
            <w:r w:rsidR="00127437">
              <w:rPr>
                <w:noProof/>
                <w:webHidden/>
              </w:rPr>
            </w:r>
            <w:r w:rsidR="00127437">
              <w:rPr>
                <w:noProof/>
                <w:webHidden/>
              </w:rPr>
              <w:fldChar w:fldCharType="separate"/>
            </w:r>
            <w:r w:rsidR="000467B4">
              <w:rPr>
                <w:noProof/>
                <w:webHidden/>
              </w:rPr>
              <w:t>27</w:t>
            </w:r>
            <w:r w:rsidR="00127437">
              <w:rPr>
                <w:noProof/>
                <w:webHidden/>
              </w:rPr>
              <w:fldChar w:fldCharType="end"/>
            </w:r>
          </w:hyperlink>
        </w:p>
        <w:p w14:paraId="213E3A15" w14:textId="0864C421" w:rsidR="008E35E3" w:rsidRDefault="008E35E3">
          <w:r>
            <w:rPr>
              <w:b/>
              <w:bCs/>
              <w:noProof/>
            </w:rPr>
            <w:fldChar w:fldCharType="end"/>
          </w:r>
        </w:p>
      </w:sdtContent>
    </w:sdt>
    <w:p w14:paraId="1D1FF685" w14:textId="7BA83CFB" w:rsidR="00EF479C" w:rsidRPr="00CB146D" w:rsidRDefault="00EF479C" w:rsidP="009C4D01">
      <w:pPr>
        <w:rPr>
          <w:sz w:val="32"/>
          <w:szCs w:val="32"/>
        </w:rPr>
      </w:pPr>
    </w:p>
    <w:p w14:paraId="1F29DD1B" w14:textId="6C9F3C58" w:rsidR="009C4D01" w:rsidRDefault="009C4D01">
      <w:pPr>
        <w:rPr>
          <w:b/>
          <w:bCs/>
        </w:rPr>
      </w:pPr>
      <w:r>
        <w:rPr>
          <w:b/>
          <w:bCs/>
        </w:rPr>
        <w:br w:type="page"/>
      </w:r>
    </w:p>
    <w:p w14:paraId="536C9572" w14:textId="1B2D7AAA" w:rsidR="00DA5AA3" w:rsidRDefault="00DA5AA3" w:rsidP="00D37CC5">
      <w:pPr>
        <w:pStyle w:val="Heading1"/>
        <w:numPr>
          <w:ilvl w:val="0"/>
          <w:numId w:val="18"/>
        </w:numPr>
      </w:pPr>
      <w:bookmarkStart w:id="0" w:name="_Toc135938250"/>
      <w:r w:rsidRPr="00284668">
        <w:lastRenderedPageBreak/>
        <w:t>Exec</w:t>
      </w:r>
      <w:r w:rsidR="00DF0818">
        <w:t>utive</w:t>
      </w:r>
      <w:r w:rsidRPr="00284668">
        <w:t xml:space="preserve"> Summary</w:t>
      </w:r>
      <w:bookmarkEnd w:id="0"/>
    </w:p>
    <w:p w14:paraId="13DABECB" w14:textId="74DB8943" w:rsidR="00EB0EA5" w:rsidRDefault="007866CB" w:rsidP="00DF0818">
      <w:pPr>
        <w:rPr>
          <w:bCs/>
        </w:rPr>
      </w:pPr>
      <w:r>
        <w:t xml:space="preserve">Cumbria’s </w:t>
      </w:r>
      <w:r w:rsidR="0013444D">
        <w:t xml:space="preserve">Clean Energy Strategy sets out a bold vision for the county to become </w:t>
      </w:r>
      <w:r w:rsidR="00B03C7C">
        <w:rPr>
          <w:bCs/>
        </w:rPr>
        <w:t xml:space="preserve">‘the UK’s natural capital for clean energy generation’. With the UK’s </w:t>
      </w:r>
      <w:r w:rsidR="007F46E3">
        <w:rPr>
          <w:bCs/>
        </w:rPr>
        <w:t xml:space="preserve">net zero targets depending to a large extent on </w:t>
      </w:r>
      <w:r w:rsidR="00EB71B9">
        <w:rPr>
          <w:bCs/>
        </w:rPr>
        <w:t>the country’s ability t</w:t>
      </w:r>
      <w:r w:rsidR="00BC1F4C">
        <w:rPr>
          <w:bCs/>
        </w:rPr>
        <w:t xml:space="preserve">o deliver </w:t>
      </w:r>
      <w:r w:rsidR="00225D3D">
        <w:rPr>
          <w:bCs/>
        </w:rPr>
        <w:t xml:space="preserve">a decarbonised supply of energy, </w:t>
      </w:r>
      <w:r w:rsidR="00A96E19">
        <w:rPr>
          <w:bCs/>
        </w:rPr>
        <w:t>Cumbria has a fantastic opportunity to build on its natural assets</w:t>
      </w:r>
      <w:r w:rsidR="00CF41B6">
        <w:rPr>
          <w:bCs/>
        </w:rPr>
        <w:t xml:space="preserve"> and industrial</w:t>
      </w:r>
      <w:r w:rsidR="00A96E19">
        <w:rPr>
          <w:bCs/>
        </w:rPr>
        <w:t xml:space="preserve"> track record to make a major contribution to converting the UK towards clean energy generation and use. </w:t>
      </w:r>
      <w:r w:rsidR="00EB0EA5">
        <w:rPr>
          <w:bCs/>
        </w:rPr>
        <w:t xml:space="preserve">By 2040 it is hoped that clean </w:t>
      </w:r>
      <w:r w:rsidR="000467B4">
        <w:rPr>
          <w:bCs/>
        </w:rPr>
        <w:t>sources</w:t>
      </w:r>
      <w:r w:rsidR="00EB0EA5">
        <w:rPr>
          <w:bCs/>
        </w:rPr>
        <w:t xml:space="preserve"> will generate 9</w:t>
      </w:r>
      <w:r w:rsidR="009F0EFB">
        <w:rPr>
          <w:bCs/>
        </w:rPr>
        <w:t>GW of energy</w:t>
      </w:r>
      <w:r w:rsidR="00CF41B6">
        <w:rPr>
          <w:bCs/>
        </w:rPr>
        <w:t xml:space="preserve"> in Cumbria</w:t>
      </w:r>
      <w:r w:rsidR="009F0EFB">
        <w:rPr>
          <w:bCs/>
        </w:rPr>
        <w:t xml:space="preserve">, supporting 13,000 jobs. </w:t>
      </w:r>
    </w:p>
    <w:p w14:paraId="7DEA1D30" w14:textId="73AECD41" w:rsidR="00A96E19" w:rsidRDefault="00F86493" w:rsidP="00DF0818">
      <w:pPr>
        <w:rPr>
          <w:bCs/>
        </w:rPr>
      </w:pPr>
      <w:r>
        <w:rPr>
          <w:bCs/>
        </w:rPr>
        <w:t xml:space="preserve">Cumbria’s workforce, skilled in engineering and energy-related </w:t>
      </w:r>
      <w:r w:rsidR="006E4EB8">
        <w:rPr>
          <w:bCs/>
        </w:rPr>
        <w:t xml:space="preserve">activities, </w:t>
      </w:r>
      <w:r w:rsidR="00E0692C">
        <w:rPr>
          <w:bCs/>
        </w:rPr>
        <w:t>offers</w:t>
      </w:r>
      <w:r w:rsidR="006E4EB8">
        <w:rPr>
          <w:bCs/>
        </w:rPr>
        <w:t xml:space="preserve"> a key competitive edge as it seeks to maximise the economic benefit arising from clean energy. However the scale, scope and timing of employer </w:t>
      </w:r>
      <w:r w:rsidR="004527F7">
        <w:rPr>
          <w:bCs/>
        </w:rPr>
        <w:t xml:space="preserve">skill </w:t>
      </w:r>
      <w:r w:rsidR="006E4EB8">
        <w:rPr>
          <w:bCs/>
        </w:rPr>
        <w:t>needs in relation to clean energy are largely unclear</w:t>
      </w:r>
      <w:r w:rsidR="00E2483B">
        <w:rPr>
          <w:bCs/>
        </w:rPr>
        <w:t xml:space="preserve"> to date</w:t>
      </w:r>
      <w:r w:rsidR="006E4EB8">
        <w:rPr>
          <w:bCs/>
        </w:rPr>
        <w:t xml:space="preserve">. </w:t>
      </w:r>
      <w:r w:rsidR="00FE5D00">
        <w:rPr>
          <w:bCs/>
        </w:rPr>
        <w:t>We anticipate that employer skills needs in relation to clean energy will ris</w:t>
      </w:r>
      <w:r w:rsidR="004527F7">
        <w:rPr>
          <w:bCs/>
        </w:rPr>
        <w:t>e</w:t>
      </w:r>
      <w:r w:rsidR="00FE5D00">
        <w:rPr>
          <w:bCs/>
        </w:rPr>
        <w:t xml:space="preserve"> in the latter part of this decade – well beyond the 2023-26 lifespan of the current version of the Local Skills Improvement Plan –</w:t>
      </w:r>
      <w:r w:rsidR="00E22396">
        <w:rPr>
          <w:bCs/>
        </w:rPr>
        <w:t xml:space="preserve"> via extensive and long-lasting construction and installation activities</w:t>
      </w:r>
      <w:r w:rsidR="004527F7">
        <w:rPr>
          <w:bCs/>
        </w:rPr>
        <w:t xml:space="preserve">. From the early 2030s, this gradually changes </w:t>
      </w:r>
      <w:r w:rsidR="00E22396">
        <w:rPr>
          <w:bCs/>
        </w:rPr>
        <w:t xml:space="preserve">as projects move more into </w:t>
      </w:r>
      <w:r w:rsidR="004527F7">
        <w:rPr>
          <w:bCs/>
        </w:rPr>
        <w:t>operational mode, with smaller workforces</w:t>
      </w:r>
      <w:r w:rsidR="007814AB">
        <w:rPr>
          <w:bCs/>
        </w:rPr>
        <w:t xml:space="preserve"> but requiring </w:t>
      </w:r>
      <w:r w:rsidR="00DE02B8">
        <w:rPr>
          <w:bCs/>
        </w:rPr>
        <w:t>locally-resident staff (rather than the more transient construction workforce) over a much longer period of time</w:t>
      </w:r>
      <w:r w:rsidR="00E22396">
        <w:rPr>
          <w:bCs/>
        </w:rPr>
        <w:t xml:space="preserve">. </w:t>
      </w:r>
    </w:p>
    <w:p w14:paraId="4ED3E0EA" w14:textId="12877BCF" w:rsidR="006E4EB8" w:rsidRDefault="007814AB" w:rsidP="00DF0818">
      <w:pPr>
        <w:rPr>
          <w:bCs/>
        </w:rPr>
      </w:pPr>
      <w:r>
        <w:rPr>
          <w:bCs/>
        </w:rPr>
        <w:t>As yet t</w:t>
      </w:r>
      <w:r w:rsidR="00E22396">
        <w:rPr>
          <w:bCs/>
        </w:rPr>
        <w:t xml:space="preserve">here are very few clean energy projects outside of offshore wind (which is not in scope of this </w:t>
      </w:r>
      <w:r w:rsidR="0087386D">
        <w:rPr>
          <w:bCs/>
        </w:rPr>
        <w:t>research project</w:t>
      </w:r>
      <w:r w:rsidR="00E22396">
        <w:rPr>
          <w:bCs/>
        </w:rPr>
        <w:t xml:space="preserve">, due to it being the focus for another Chamber report) </w:t>
      </w:r>
      <w:r w:rsidR="00714AC6">
        <w:rPr>
          <w:bCs/>
        </w:rPr>
        <w:t>where there is a moderate to high degree of confidence that plans will come to fruition</w:t>
      </w:r>
      <w:r w:rsidR="0087386D">
        <w:rPr>
          <w:bCs/>
        </w:rPr>
        <w:t xml:space="preserve"> at scale</w:t>
      </w:r>
      <w:r w:rsidR="00714AC6">
        <w:rPr>
          <w:bCs/>
        </w:rPr>
        <w:t xml:space="preserve">. </w:t>
      </w:r>
      <w:r w:rsidR="009F5DD5">
        <w:rPr>
          <w:bCs/>
        </w:rPr>
        <w:t xml:space="preserve">‘New nuclear’ generation appears to offer the </w:t>
      </w:r>
      <w:r w:rsidR="008A4C39">
        <w:rPr>
          <w:bCs/>
        </w:rPr>
        <w:t xml:space="preserve">best prospects for </w:t>
      </w:r>
      <w:r w:rsidR="005E61DC">
        <w:rPr>
          <w:bCs/>
        </w:rPr>
        <w:t xml:space="preserve">creating </w:t>
      </w:r>
      <w:r w:rsidR="0087386D">
        <w:rPr>
          <w:bCs/>
        </w:rPr>
        <w:t xml:space="preserve">significant </w:t>
      </w:r>
      <w:r w:rsidR="00F75D2F">
        <w:rPr>
          <w:bCs/>
        </w:rPr>
        <w:t>clean energy skills demand, but</w:t>
      </w:r>
      <w:r w:rsidR="005E61DC">
        <w:rPr>
          <w:bCs/>
        </w:rPr>
        <w:t xml:space="preserve"> </w:t>
      </w:r>
      <w:r w:rsidR="00B150BE">
        <w:rPr>
          <w:bCs/>
        </w:rPr>
        <w:t>it</w:t>
      </w:r>
      <w:r w:rsidR="005E61DC">
        <w:rPr>
          <w:bCs/>
        </w:rPr>
        <w:t xml:space="preserve"> may be </w:t>
      </w:r>
      <w:r w:rsidR="00DB6E74">
        <w:rPr>
          <w:bCs/>
        </w:rPr>
        <w:t xml:space="preserve">fifteen years until </w:t>
      </w:r>
      <w:r w:rsidR="00B150BE">
        <w:rPr>
          <w:bCs/>
        </w:rPr>
        <w:t>this</w:t>
      </w:r>
      <w:r w:rsidR="00DB6E74">
        <w:rPr>
          <w:bCs/>
        </w:rPr>
        <w:t xml:space="preserve"> technology is operational in Cumbria</w:t>
      </w:r>
      <w:r w:rsidR="00F75D2F">
        <w:rPr>
          <w:bCs/>
        </w:rPr>
        <w:t xml:space="preserve">. </w:t>
      </w:r>
      <w:r w:rsidR="00DB6E74">
        <w:rPr>
          <w:bCs/>
          <w:i/>
          <w:iCs/>
        </w:rPr>
        <w:t>However</w:t>
      </w:r>
      <w:r w:rsidR="00714AC6" w:rsidRPr="00E2483B">
        <w:rPr>
          <w:bCs/>
          <w:i/>
          <w:iCs/>
        </w:rPr>
        <w:t xml:space="preserve"> t</w:t>
      </w:r>
      <w:r w:rsidR="00CD2BC9" w:rsidRPr="00E2483B">
        <w:rPr>
          <w:bCs/>
          <w:i/>
          <w:iCs/>
        </w:rPr>
        <w:t xml:space="preserve">his does not mean that partners within Cumbria should adopt a ‘wait and see’ approach </w:t>
      </w:r>
      <w:r w:rsidR="00772CEA" w:rsidRPr="00E2483B">
        <w:rPr>
          <w:bCs/>
          <w:i/>
          <w:iCs/>
        </w:rPr>
        <w:t>in relation to clean energy skills</w:t>
      </w:r>
      <w:r w:rsidR="00772CEA">
        <w:rPr>
          <w:bCs/>
        </w:rPr>
        <w:t>. T</w:t>
      </w:r>
      <w:r w:rsidR="00CD2BC9">
        <w:rPr>
          <w:bCs/>
        </w:rPr>
        <w:t xml:space="preserve">o do so would </w:t>
      </w:r>
      <w:r w:rsidR="0056229D">
        <w:rPr>
          <w:bCs/>
        </w:rPr>
        <w:t xml:space="preserve">risk turning clean energy into a missed opportunity. Instead, work can begin to build the partnerships, </w:t>
      </w:r>
      <w:r w:rsidR="00DB6E74">
        <w:rPr>
          <w:bCs/>
        </w:rPr>
        <w:t>networks</w:t>
      </w:r>
      <w:r w:rsidR="0056229D">
        <w:rPr>
          <w:bCs/>
        </w:rPr>
        <w:t xml:space="preserve"> and enhancements to the local skills base that will serve Cumbria well in years to come.</w:t>
      </w:r>
    </w:p>
    <w:p w14:paraId="6BAD1CAE" w14:textId="73FA7F49" w:rsidR="00772CEA" w:rsidRDefault="00772CEA" w:rsidP="00DF0818">
      <w:pPr>
        <w:rPr>
          <w:bCs/>
        </w:rPr>
      </w:pPr>
      <w:r>
        <w:rPr>
          <w:bCs/>
        </w:rPr>
        <w:t>This project undertook extensive desktop analysis of policies, plans and data</w:t>
      </w:r>
      <w:r w:rsidR="009C6CFF">
        <w:rPr>
          <w:bCs/>
        </w:rPr>
        <w:t xml:space="preserve"> which has been further enhanced by interviews with key employers, education and training providers, and other stakeholders to build an evidence base </w:t>
      </w:r>
      <w:r w:rsidR="003F298F">
        <w:rPr>
          <w:bCs/>
        </w:rPr>
        <w:t xml:space="preserve">for clean energy skills in Cumbria. The report highlights </w:t>
      </w:r>
      <w:r w:rsidR="00C636AA">
        <w:rPr>
          <w:bCs/>
        </w:rPr>
        <w:t xml:space="preserve">key </w:t>
      </w:r>
      <w:r w:rsidR="00C636AA" w:rsidRPr="00F4419A">
        <w:rPr>
          <w:bCs/>
          <w:u w:val="single"/>
        </w:rPr>
        <w:t>employer skills needs</w:t>
      </w:r>
      <w:r w:rsidR="00C636AA">
        <w:rPr>
          <w:bCs/>
        </w:rPr>
        <w:t xml:space="preserve"> </w:t>
      </w:r>
      <w:r w:rsidR="00F4419A">
        <w:rPr>
          <w:bCs/>
        </w:rPr>
        <w:t xml:space="preserve">as far as can be understood </w:t>
      </w:r>
      <w:r w:rsidR="00C636AA">
        <w:rPr>
          <w:bCs/>
        </w:rPr>
        <w:t>(</w:t>
      </w:r>
      <w:r w:rsidR="005F7D1E">
        <w:rPr>
          <w:bCs/>
        </w:rPr>
        <w:t xml:space="preserve">including occupations </w:t>
      </w:r>
      <w:r w:rsidR="0040632C">
        <w:rPr>
          <w:bCs/>
        </w:rPr>
        <w:t xml:space="preserve">relating to </w:t>
      </w:r>
      <w:r w:rsidR="003F298F">
        <w:rPr>
          <w:bCs/>
        </w:rPr>
        <w:t>the construction and operational phase for projects)</w:t>
      </w:r>
      <w:r w:rsidR="0040632C">
        <w:rPr>
          <w:bCs/>
        </w:rPr>
        <w:t xml:space="preserve">, identifying </w:t>
      </w:r>
      <w:r w:rsidR="0040632C" w:rsidRPr="00F4419A">
        <w:rPr>
          <w:bCs/>
          <w:u w:val="single"/>
        </w:rPr>
        <w:t>actionable priorities</w:t>
      </w:r>
      <w:r w:rsidR="0040632C">
        <w:rPr>
          <w:bCs/>
        </w:rPr>
        <w:t xml:space="preserve"> (suggested ways in which these needs can be met) in response. Finally</w:t>
      </w:r>
      <w:r w:rsidR="00285202">
        <w:rPr>
          <w:bCs/>
        </w:rPr>
        <w:t xml:space="preserve">, it outlines </w:t>
      </w:r>
      <w:r w:rsidR="00285202" w:rsidRPr="00F4419A">
        <w:rPr>
          <w:bCs/>
          <w:u w:val="single"/>
        </w:rPr>
        <w:t>a series of next steps</w:t>
      </w:r>
      <w:r w:rsidR="00285202">
        <w:rPr>
          <w:bCs/>
        </w:rPr>
        <w:t xml:space="preserve"> to implement actions in response. Of critical importance will been the maintenance and further growth of</w:t>
      </w:r>
      <w:r w:rsidR="000B4A45">
        <w:rPr>
          <w:bCs/>
        </w:rPr>
        <w:t xml:space="preserve"> Cumbria’s</w:t>
      </w:r>
      <w:r w:rsidR="00285202">
        <w:rPr>
          <w:bCs/>
        </w:rPr>
        <w:t xml:space="preserve"> engineering skills </w:t>
      </w:r>
      <w:r w:rsidR="000B4A45">
        <w:rPr>
          <w:bCs/>
        </w:rPr>
        <w:t xml:space="preserve">base </w:t>
      </w:r>
      <w:r w:rsidR="00285202">
        <w:rPr>
          <w:bCs/>
        </w:rPr>
        <w:t>whic</w:t>
      </w:r>
      <w:r w:rsidR="00E94164">
        <w:rPr>
          <w:bCs/>
        </w:rPr>
        <w:t>h will create a solid foundation from which clean energy skill needs can be met</w:t>
      </w:r>
      <w:r w:rsidR="000B4A45">
        <w:rPr>
          <w:bCs/>
        </w:rPr>
        <w:t>, even if some employers ultimately require adaptations to these skill sets (which can be achieved via short courses)</w:t>
      </w:r>
      <w:r w:rsidR="00E94164">
        <w:rPr>
          <w:bCs/>
        </w:rPr>
        <w:t>. T</w:t>
      </w:r>
      <w:r w:rsidR="00B03A6E">
        <w:rPr>
          <w:bCs/>
        </w:rPr>
        <w:t>he report identifies a number of priorities for action, such as:</w:t>
      </w:r>
    </w:p>
    <w:p w14:paraId="2FD1094C" w14:textId="0B6BF7BD" w:rsidR="00B03A6E" w:rsidRDefault="002E7A30" w:rsidP="00D37CC5">
      <w:pPr>
        <w:pStyle w:val="ListParagraph"/>
        <w:numPr>
          <w:ilvl w:val="0"/>
          <w:numId w:val="26"/>
        </w:numPr>
      </w:pPr>
      <w:r>
        <w:t>M</w:t>
      </w:r>
      <w:r w:rsidR="00B03A6E">
        <w:t>aximising the value of the £2.5bn MoU with Sizewell C contractors</w:t>
      </w:r>
      <w:r>
        <w:t xml:space="preserve"> including in relation to skills</w:t>
      </w:r>
    </w:p>
    <w:p w14:paraId="3F28A986" w14:textId="1D79F8F1" w:rsidR="00B03A6E" w:rsidRDefault="00B03A6E" w:rsidP="00D37CC5">
      <w:pPr>
        <w:pStyle w:val="ListParagraph"/>
        <w:numPr>
          <w:ilvl w:val="0"/>
          <w:numId w:val="26"/>
        </w:numPr>
      </w:pPr>
      <w:r>
        <w:t xml:space="preserve">Enhancing employer leadership </w:t>
      </w:r>
      <w:r w:rsidR="00E65E1D">
        <w:t>in developing and delivering the skills required by clean energy</w:t>
      </w:r>
    </w:p>
    <w:p w14:paraId="7657A46F" w14:textId="279ACAEC" w:rsidR="00E65E1D" w:rsidRDefault="00E65E1D" w:rsidP="00D37CC5">
      <w:pPr>
        <w:pStyle w:val="ListParagraph"/>
        <w:numPr>
          <w:ilvl w:val="0"/>
          <w:numId w:val="26"/>
        </w:numPr>
      </w:pPr>
      <w:r>
        <w:t xml:space="preserve">Improving advice and guidance to young people, </w:t>
      </w:r>
      <w:r w:rsidR="00E950DD">
        <w:t xml:space="preserve">to stimulate demand </w:t>
      </w:r>
      <w:r w:rsidR="002E7A30">
        <w:t xml:space="preserve">for energy careers </w:t>
      </w:r>
      <w:r w:rsidR="00E950DD">
        <w:t xml:space="preserve">amid high employer demand and </w:t>
      </w:r>
      <w:r w:rsidR="00E0692C">
        <w:t xml:space="preserve">a steep decline in the working age </w:t>
      </w:r>
      <w:r w:rsidR="00E950DD">
        <w:t xml:space="preserve">population </w:t>
      </w:r>
      <w:r w:rsidR="002E7A30">
        <w:t>in the local area</w:t>
      </w:r>
    </w:p>
    <w:p w14:paraId="595725CC" w14:textId="5E640503" w:rsidR="00E950DD" w:rsidRDefault="00E950DD" w:rsidP="00D37CC5">
      <w:pPr>
        <w:pStyle w:val="ListParagraph"/>
        <w:numPr>
          <w:ilvl w:val="0"/>
          <w:numId w:val="26"/>
        </w:numPr>
      </w:pPr>
      <w:r>
        <w:t xml:space="preserve">The opportunity to develop a more ambitious vision </w:t>
      </w:r>
      <w:r w:rsidR="00846BAD">
        <w:t>from Cumbria’s education and training providers about how they will prepare for and meet clean energy skills demands within the county and potentially across the UK as a whole</w:t>
      </w:r>
    </w:p>
    <w:p w14:paraId="4D1E3172" w14:textId="630A5858" w:rsidR="00BF638E" w:rsidRDefault="00DE62E3" w:rsidP="00DB4B97">
      <w:pPr>
        <w:pStyle w:val="ListParagraph"/>
        <w:numPr>
          <w:ilvl w:val="0"/>
          <w:numId w:val="26"/>
        </w:numPr>
      </w:pPr>
      <w:r>
        <w:t xml:space="preserve">Working with the new unitary authorities to ensure that public sector partners in roles such as planning, environmental health and economic development are equipped with the knowledge required to </w:t>
      </w:r>
      <w:r w:rsidR="00C636AA">
        <w:t xml:space="preserve">support the development of clean energy in Cumbria. </w:t>
      </w:r>
    </w:p>
    <w:p w14:paraId="4BE4A033" w14:textId="4924E726" w:rsidR="00DA5AA3" w:rsidRDefault="00823260" w:rsidP="00823260">
      <w:pPr>
        <w:pStyle w:val="Heading1"/>
      </w:pPr>
      <w:bookmarkStart w:id="1" w:name="_Toc135938251"/>
      <w:r>
        <w:t xml:space="preserve">2. </w:t>
      </w:r>
      <w:r w:rsidR="00DA5AA3" w:rsidRPr="00F825CD">
        <w:t>Introduction</w:t>
      </w:r>
      <w:bookmarkEnd w:id="1"/>
      <w:r w:rsidR="00DA5AA3">
        <w:t xml:space="preserve"> </w:t>
      </w:r>
    </w:p>
    <w:p w14:paraId="3D0EEA6A" w14:textId="0A906B19" w:rsidR="00823260" w:rsidRDefault="00823260" w:rsidP="00823260">
      <w:pPr>
        <w:pStyle w:val="Heading2"/>
      </w:pPr>
      <w:bookmarkStart w:id="2" w:name="_Toc135938252"/>
      <w:r>
        <w:t>2.1 Background</w:t>
      </w:r>
      <w:bookmarkEnd w:id="2"/>
    </w:p>
    <w:p w14:paraId="2B413108" w14:textId="36ADF919" w:rsidR="009A64A0" w:rsidRDefault="00F825CD" w:rsidP="00F825CD">
      <w:pPr>
        <w:spacing w:after="120"/>
        <w:rPr>
          <w:bCs/>
        </w:rPr>
      </w:pPr>
      <w:r>
        <w:rPr>
          <w:bCs/>
        </w:rPr>
        <w:t xml:space="preserve">Energy generation has </w:t>
      </w:r>
      <w:r w:rsidR="00B61F0A">
        <w:rPr>
          <w:bCs/>
        </w:rPr>
        <w:t>long</w:t>
      </w:r>
      <w:r>
        <w:rPr>
          <w:bCs/>
        </w:rPr>
        <w:t xml:space="preserve"> been a mainstay of Cumbria’s economy. </w:t>
      </w:r>
      <w:r w:rsidR="009A64A0">
        <w:rPr>
          <w:bCs/>
        </w:rPr>
        <w:t>The county is best know</w:t>
      </w:r>
      <w:r>
        <w:rPr>
          <w:bCs/>
        </w:rPr>
        <w:t>n</w:t>
      </w:r>
      <w:r w:rsidR="009A64A0">
        <w:rPr>
          <w:bCs/>
        </w:rPr>
        <w:t xml:space="preserve"> for its extensive nuclear facilities</w:t>
      </w:r>
      <w:r>
        <w:rPr>
          <w:bCs/>
        </w:rPr>
        <w:t xml:space="preserve"> which have buil</w:t>
      </w:r>
      <w:r w:rsidR="00E35342">
        <w:rPr>
          <w:bCs/>
        </w:rPr>
        <w:t>t</w:t>
      </w:r>
      <w:r>
        <w:rPr>
          <w:bCs/>
        </w:rPr>
        <w:t xml:space="preserve"> a substantial pool of knowledge and expertise</w:t>
      </w:r>
      <w:r w:rsidR="003C1571">
        <w:rPr>
          <w:bCs/>
        </w:rPr>
        <w:t xml:space="preserve">. But in recent years a much </w:t>
      </w:r>
      <w:r w:rsidR="009A64A0">
        <w:rPr>
          <w:bCs/>
        </w:rPr>
        <w:t xml:space="preserve">broader range of </w:t>
      </w:r>
      <w:r w:rsidR="00C7690F">
        <w:rPr>
          <w:bCs/>
        </w:rPr>
        <w:t xml:space="preserve">energy </w:t>
      </w:r>
      <w:r w:rsidR="009A64A0">
        <w:rPr>
          <w:bCs/>
        </w:rPr>
        <w:t xml:space="preserve">generation activity </w:t>
      </w:r>
      <w:r w:rsidR="003C1571">
        <w:rPr>
          <w:bCs/>
        </w:rPr>
        <w:t>has become</w:t>
      </w:r>
      <w:r w:rsidR="009A64A0">
        <w:rPr>
          <w:bCs/>
        </w:rPr>
        <w:t xml:space="preserve"> established in Cumbria. </w:t>
      </w:r>
    </w:p>
    <w:p w14:paraId="28A805BF" w14:textId="74E21C63" w:rsidR="009A64A0" w:rsidRDefault="009A64A0" w:rsidP="00F825CD">
      <w:pPr>
        <w:spacing w:after="120"/>
        <w:rPr>
          <w:bCs/>
        </w:rPr>
      </w:pPr>
      <w:r>
        <w:rPr>
          <w:bCs/>
        </w:rPr>
        <w:t xml:space="preserve">The ambition articulated by Cumbria LEP via its </w:t>
      </w:r>
      <w:r w:rsidR="00F825CD">
        <w:rPr>
          <w:bCs/>
        </w:rPr>
        <w:t xml:space="preserve">2022 </w:t>
      </w:r>
      <w:r w:rsidRPr="00C7690F">
        <w:rPr>
          <w:bCs/>
          <w:i/>
          <w:iCs/>
        </w:rPr>
        <w:t xml:space="preserve">Cumbria </w:t>
      </w:r>
      <w:r w:rsidR="005D039D" w:rsidRPr="00C7690F">
        <w:rPr>
          <w:bCs/>
          <w:i/>
          <w:iCs/>
        </w:rPr>
        <w:t>Clean Energy Strategy</w:t>
      </w:r>
      <w:r w:rsidR="00F825CD">
        <w:rPr>
          <w:rStyle w:val="FootnoteReference"/>
          <w:bCs/>
        </w:rPr>
        <w:footnoteReference w:id="1"/>
      </w:r>
      <w:r>
        <w:rPr>
          <w:bCs/>
        </w:rPr>
        <w:t xml:space="preserve"> is for the county to become ‘the UK’s natural capital for clean energy generation’, </w:t>
      </w:r>
      <w:r w:rsidR="001C5234">
        <w:rPr>
          <w:bCs/>
        </w:rPr>
        <w:t xml:space="preserve">while simultaneously </w:t>
      </w:r>
      <w:r w:rsidR="00C7690F">
        <w:rPr>
          <w:bCs/>
        </w:rPr>
        <w:t>enabling</w:t>
      </w:r>
      <w:r>
        <w:rPr>
          <w:bCs/>
        </w:rPr>
        <w:t xml:space="preserve"> the decarbonisation of its existing businesses. The UK’s Net Zero </w:t>
      </w:r>
      <w:r w:rsidR="003C1571">
        <w:rPr>
          <w:bCs/>
        </w:rPr>
        <w:t xml:space="preserve">2050 </w:t>
      </w:r>
      <w:r>
        <w:rPr>
          <w:bCs/>
        </w:rPr>
        <w:t>target depend</w:t>
      </w:r>
      <w:r w:rsidR="003C1571">
        <w:rPr>
          <w:bCs/>
        </w:rPr>
        <w:t>s</w:t>
      </w:r>
      <w:r>
        <w:rPr>
          <w:bCs/>
        </w:rPr>
        <w:t xml:space="preserve"> to a large degree on the country’s ability to find and exploit low carbon sources of energy. Cumbria – with its nuclear, offshore wind and growing renewables secto</w:t>
      </w:r>
      <w:r w:rsidR="00641C62">
        <w:rPr>
          <w:bCs/>
        </w:rPr>
        <w:t xml:space="preserve">rs - </w:t>
      </w:r>
      <w:r>
        <w:rPr>
          <w:bCs/>
        </w:rPr>
        <w:t>has the opportunity to become a major contributor to the drive for net zero</w:t>
      </w:r>
      <w:r w:rsidR="00641C62">
        <w:rPr>
          <w:bCs/>
        </w:rPr>
        <w:t xml:space="preserve"> in the UK</w:t>
      </w:r>
      <w:r w:rsidR="00C544D2">
        <w:rPr>
          <w:bCs/>
        </w:rPr>
        <w:t xml:space="preserve"> over the coming decades</w:t>
      </w:r>
      <w:r>
        <w:rPr>
          <w:bCs/>
        </w:rPr>
        <w:t xml:space="preserve">. </w:t>
      </w:r>
    </w:p>
    <w:p w14:paraId="50F12FB3" w14:textId="43898838" w:rsidR="009A64A0" w:rsidRDefault="001A71B8" w:rsidP="00F825CD">
      <w:pPr>
        <w:spacing w:after="120"/>
        <w:rPr>
          <w:bCs/>
        </w:rPr>
      </w:pPr>
      <w:r>
        <w:rPr>
          <w:bCs/>
        </w:rPr>
        <w:t>The availability of a trained, skilled workforce and a supporting infrastructure of</w:t>
      </w:r>
      <w:r w:rsidR="0087386D">
        <w:rPr>
          <w:bCs/>
        </w:rPr>
        <w:t xml:space="preserve"> relevant</w:t>
      </w:r>
      <w:r>
        <w:rPr>
          <w:bCs/>
        </w:rPr>
        <w:t xml:space="preserve"> training provision that is well aligned to industry requirements can be a key source of competitive advantage </w:t>
      </w:r>
      <w:r w:rsidR="00270E69">
        <w:rPr>
          <w:bCs/>
        </w:rPr>
        <w:t>as Cumbria seek</w:t>
      </w:r>
      <w:r>
        <w:rPr>
          <w:bCs/>
        </w:rPr>
        <w:t xml:space="preserve">s to maximise </w:t>
      </w:r>
      <w:r w:rsidR="001C5234">
        <w:rPr>
          <w:bCs/>
        </w:rPr>
        <w:t>clean energy</w:t>
      </w:r>
      <w:r>
        <w:rPr>
          <w:bCs/>
        </w:rPr>
        <w:t xml:space="preserve"> growth. </w:t>
      </w:r>
      <w:r w:rsidR="00720B1E">
        <w:rPr>
          <w:bCs/>
        </w:rPr>
        <w:t xml:space="preserve">Cumbria Chamber has identified the transition to clean energy as a key priority for </w:t>
      </w:r>
      <w:r w:rsidR="00CF012F">
        <w:rPr>
          <w:bCs/>
        </w:rPr>
        <w:t xml:space="preserve">its </w:t>
      </w:r>
      <w:r w:rsidR="00720B1E">
        <w:rPr>
          <w:bCs/>
        </w:rPr>
        <w:t xml:space="preserve">new </w:t>
      </w:r>
      <w:r w:rsidR="009A64A0">
        <w:rPr>
          <w:bCs/>
        </w:rPr>
        <w:t>Local Skills Improvement Plan</w:t>
      </w:r>
      <w:r w:rsidR="00A51E09">
        <w:rPr>
          <w:bCs/>
        </w:rPr>
        <w:t xml:space="preserve"> (LSIP)</w:t>
      </w:r>
      <w:r w:rsidR="009A64A0">
        <w:rPr>
          <w:bCs/>
        </w:rPr>
        <w:t xml:space="preserve">. The Chamber, appointed as the Employer Representative Body </w:t>
      </w:r>
      <w:r w:rsidR="00CF012F">
        <w:rPr>
          <w:bCs/>
        </w:rPr>
        <w:t xml:space="preserve">by DfE </w:t>
      </w:r>
      <w:r w:rsidR="009A64A0">
        <w:rPr>
          <w:bCs/>
        </w:rPr>
        <w:t xml:space="preserve">to develop the LSIP in </w:t>
      </w:r>
      <w:r w:rsidR="00720B1E">
        <w:rPr>
          <w:bCs/>
        </w:rPr>
        <w:t>Cumbria</w:t>
      </w:r>
      <w:r w:rsidR="009A64A0">
        <w:rPr>
          <w:bCs/>
        </w:rPr>
        <w:t xml:space="preserve">, is tasked with gathering evidence from employers and other sources to articulate employer needs via a set of actionable priorities. In response, providers (led by colleges, who by statute must </w:t>
      </w:r>
      <w:r w:rsidR="00B303F1">
        <w:rPr>
          <w:bCs/>
        </w:rPr>
        <w:t xml:space="preserve">publish their response to LSIP priorities) </w:t>
      </w:r>
      <w:r w:rsidR="00AF70A7">
        <w:rPr>
          <w:bCs/>
        </w:rPr>
        <w:t xml:space="preserve">are </w:t>
      </w:r>
      <w:r w:rsidR="009A64A0">
        <w:rPr>
          <w:bCs/>
        </w:rPr>
        <w:t>consider</w:t>
      </w:r>
      <w:r w:rsidR="00AF70A7">
        <w:rPr>
          <w:bCs/>
        </w:rPr>
        <w:t>ing</w:t>
      </w:r>
      <w:r w:rsidR="009A64A0">
        <w:rPr>
          <w:bCs/>
        </w:rPr>
        <w:t xml:space="preserve"> how their curriculum offer will adjust in light of these employer-led priorities. </w:t>
      </w:r>
    </w:p>
    <w:p w14:paraId="4FBFD286" w14:textId="63F1B41D" w:rsidR="009A64A0" w:rsidRPr="00823260" w:rsidRDefault="00823260" w:rsidP="00823260">
      <w:pPr>
        <w:pStyle w:val="Heading2"/>
      </w:pPr>
      <w:bookmarkStart w:id="3" w:name="_Toc135938253"/>
      <w:r>
        <w:t xml:space="preserve">2.2 </w:t>
      </w:r>
      <w:r w:rsidR="009A64A0" w:rsidRPr="00823260">
        <w:t>Scope and requirement</w:t>
      </w:r>
      <w:bookmarkEnd w:id="3"/>
    </w:p>
    <w:p w14:paraId="3C3BC2BC" w14:textId="6D5B9767" w:rsidR="00326C43" w:rsidRDefault="00AE0632" w:rsidP="00F825CD">
      <w:pPr>
        <w:spacing w:after="120"/>
        <w:rPr>
          <w:bCs/>
        </w:rPr>
      </w:pPr>
      <w:r>
        <w:rPr>
          <w:bCs/>
        </w:rPr>
        <w:t>For the purposes of this project</w:t>
      </w:r>
      <w:r w:rsidR="00DF6802">
        <w:rPr>
          <w:bCs/>
        </w:rPr>
        <w:t xml:space="preserve"> and in accordance with the Cumbria Clean Energy Strategy</w:t>
      </w:r>
      <w:r>
        <w:rPr>
          <w:bCs/>
        </w:rPr>
        <w:t xml:space="preserve">, </w:t>
      </w:r>
      <w:r w:rsidR="00270E69">
        <w:rPr>
          <w:bCs/>
        </w:rPr>
        <w:t>the scope of clean energy technologies reviewed in this report</w:t>
      </w:r>
      <w:r>
        <w:rPr>
          <w:bCs/>
        </w:rPr>
        <w:t xml:space="preserve"> incorporates:</w:t>
      </w:r>
    </w:p>
    <w:p w14:paraId="41F33E45" w14:textId="60B0CA10" w:rsidR="00AE0632" w:rsidRDefault="00AE0632" w:rsidP="00D37CC5">
      <w:pPr>
        <w:pStyle w:val="ListParagraph"/>
        <w:numPr>
          <w:ilvl w:val="0"/>
          <w:numId w:val="2"/>
        </w:numPr>
        <w:spacing w:after="120"/>
        <w:rPr>
          <w:bCs/>
        </w:rPr>
      </w:pPr>
      <w:r>
        <w:rPr>
          <w:bCs/>
        </w:rPr>
        <w:t>New nuclear developments</w:t>
      </w:r>
    </w:p>
    <w:p w14:paraId="59CC2BE6" w14:textId="46759CEF" w:rsidR="00AE0632" w:rsidRPr="00FF45FF" w:rsidRDefault="00400360" w:rsidP="00D37CC5">
      <w:pPr>
        <w:pStyle w:val="ListParagraph"/>
        <w:numPr>
          <w:ilvl w:val="0"/>
          <w:numId w:val="2"/>
        </w:numPr>
        <w:spacing w:after="120"/>
        <w:rPr>
          <w:bCs/>
        </w:rPr>
      </w:pPr>
      <w:r w:rsidRPr="00FF45FF">
        <w:rPr>
          <w:bCs/>
        </w:rPr>
        <w:t>Carbon capture</w:t>
      </w:r>
      <w:r w:rsidR="00205140">
        <w:rPr>
          <w:bCs/>
        </w:rPr>
        <w:t xml:space="preserve">, utilisation and </w:t>
      </w:r>
      <w:r w:rsidRPr="00FF45FF">
        <w:rPr>
          <w:bCs/>
        </w:rPr>
        <w:t>storage (CCUS)</w:t>
      </w:r>
      <w:r w:rsidR="00FF45FF" w:rsidRPr="00FF45FF">
        <w:rPr>
          <w:bCs/>
        </w:rPr>
        <w:t xml:space="preserve"> and </w:t>
      </w:r>
      <w:r w:rsidR="003D26A9">
        <w:rPr>
          <w:bCs/>
        </w:rPr>
        <w:t>h</w:t>
      </w:r>
      <w:r w:rsidR="00616B86" w:rsidRPr="00FF45FF">
        <w:rPr>
          <w:bCs/>
        </w:rPr>
        <w:t xml:space="preserve">ydrogen </w:t>
      </w:r>
      <w:r w:rsidR="003D26A9">
        <w:rPr>
          <w:bCs/>
        </w:rPr>
        <w:t>production</w:t>
      </w:r>
    </w:p>
    <w:p w14:paraId="2EE300FC" w14:textId="5052A331" w:rsidR="0008284B" w:rsidRPr="0047377A" w:rsidRDefault="0047377A" w:rsidP="00D37CC5">
      <w:pPr>
        <w:pStyle w:val="ListParagraph"/>
        <w:numPr>
          <w:ilvl w:val="0"/>
          <w:numId w:val="2"/>
        </w:numPr>
        <w:spacing w:after="120"/>
        <w:rPr>
          <w:bCs/>
        </w:rPr>
      </w:pPr>
      <w:r w:rsidRPr="0047377A">
        <w:rPr>
          <w:bCs/>
        </w:rPr>
        <w:t xml:space="preserve">Renewable energy: </w:t>
      </w:r>
      <w:r>
        <w:rPr>
          <w:bCs/>
        </w:rPr>
        <w:t>Mainly o</w:t>
      </w:r>
      <w:r w:rsidR="00AC75FA" w:rsidRPr="0047377A">
        <w:rPr>
          <w:bCs/>
        </w:rPr>
        <w:t>nshore wind</w:t>
      </w:r>
      <w:r w:rsidR="0008284B">
        <w:rPr>
          <w:rStyle w:val="FootnoteReference"/>
          <w:bCs/>
        </w:rPr>
        <w:footnoteReference w:id="2"/>
      </w:r>
      <w:r>
        <w:rPr>
          <w:bCs/>
        </w:rPr>
        <w:t>, s</w:t>
      </w:r>
      <w:r w:rsidR="00AC75FA" w:rsidRPr="0047377A">
        <w:rPr>
          <w:bCs/>
        </w:rPr>
        <w:t>olar photovoltaic</w:t>
      </w:r>
      <w:r w:rsidR="0008284B" w:rsidRPr="0047377A">
        <w:rPr>
          <w:bCs/>
        </w:rPr>
        <w:t>s</w:t>
      </w:r>
      <w:r w:rsidR="00714F38" w:rsidRPr="0047377A">
        <w:rPr>
          <w:bCs/>
        </w:rPr>
        <w:t xml:space="preserve"> </w:t>
      </w:r>
    </w:p>
    <w:p w14:paraId="4D045C97" w14:textId="691EA9E7" w:rsidR="00AC75FA" w:rsidRPr="0008284B" w:rsidRDefault="00DF6802" w:rsidP="00D37CC5">
      <w:pPr>
        <w:pStyle w:val="ListParagraph"/>
        <w:numPr>
          <w:ilvl w:val="0"/>
          <w:numId w:val="2"/>
        </w:numPr>
        <w:spacing w:after="120"/>
        <w:rPr>
          <w:bCs/>
        </w:rPr>
      </w:pPr>
      <w:r>
        <w:rPr>
          <w:bCs/>
        </w:rPr>
        <w:t>Network</w:t>
      </w:r>
      <w:r w:rsidR="0008284B">
        <w:rPr>
          <w:bCs/>
        </w:rPr>
        <w:t xml:space="preserve"> storage</w:t>
      </w:r>
      <w:r w:rsidR="00AC75FA" w:rsidRPr="0008284B">
        <w:rPr>
          <w:bCs/>
        </w:rPr>
        <w:t xml:space="preserve"> </w:t>
      </w:r>
      <w:r w:rsidR="00AF70A7">
        <w:rPr>
          <w:bCs/>
        </w:rPr>
        <w:t>and grid upgrades</w:t>
      </w:r>
    </w:p>
    <w:p w14:paraId="5AE3DF15" w14:textId="5EF668F7" w:rsidR="00357097" w:rsidRDefault="00C86ADE" w:rsidP="00F113F7">
      <w:pPr>
        <w:spacing w:after="120"/>
        <w:rPr>
          <w:bCs/>
        </w:rPr>
      </w:pPr>
      <w:r>
        <w:rPr>
          <w:bCs/>
        </w:rPr>
        <w:t>This report will provide information and findings that will contribute to the drafting of the Cumbria LSIP in Spring 2023</w:t>
      </w:r>
      <w:r w:rsidR="00F113F7">
        <w:rPr>
          <w:bCs/>
        </w:rPr>
        <w:t xml:space="preserve">. It will draw on </w:t>
      </w:r>
      <w:r w:rsidR="00B0586B">
        <w:rPr>
          <w:bCs/>
        </w:rPr>
        <w:t xml:space="preserve">desk-based secondary and </w:t>
      </w:r>
      <w:r w:rsidR="00A51E09">
        <w:rPr>
          <w:bCs/>
        </w:rPr>
        <w:t xml:space="preserve">primary </w:t>
      </w:r>
      <w:r w:rsidR="00B0586B">
        <w:rPr>
          <w:bCs/>
        </w:rPr>
        <w:t>qualitative evidence</w:t>
      </w:r>
      <w:r w:rsidR="00F113F7">
        <w:rPr>
          <w:bCs/>
        </w:rPr>
        <w:t xml:space="preserve"> to develop </w:t>
      </w:r>
      <w:r w:rsidR="00B0586B">
        <w:rPr>
          <w:bCs/>
        </w:rPr>
        <w:t xml:space="preserve">conclusions about </w:t>
      </w:r>
      <w:r w:rsidR="002D2B72" w:rsidRPr="002D2B72">
        <w:rPr>
          <w:b/>
        </w:rPr>
        <w:t>employer skills needs</w:t>
      </w:r>
      <w:r w:rsidR="00B0586B">
        <w:rPr>
          <w:bCs/>
        </w:rPr>
        <w:t xml:space="preserve"> </w:t>
      </w:r>
      <w:r w:rsidR="002D2B72">
        <w:rPr>
          <w:bCs/>
        </w:rPr>
        <w:t>arising from clean energy in Cumbria</w:t>
      </w:r>
      <w:r w:rsidR="00357097">
        <w:rPr>
          <w:bCs/>
        </w:rPr>
        <w:t xml:space="preserve">. </w:t>
      </w:r>
      <w:r w:rsidR="0033283A">
        <w:rPr>
          <w:bCs/>
        </w:rPr>
        <w:t>With available evidence</w:t>
      </w:r>
      <w:r w:rsidR="00357097">
        <w:rPr>
          <w:bCs/>
        </w:rPr>
        <w:t xml:space="preserve">, </w:t>
      </w:r>
      <w:r w:rsidR="0033283A">
        <w:rPr>
          <w:bCs/>
        </w:rPr>
        <w:t>these needs will be articulated as</w:t>
      </w:r>
      <w:r w:rsidR="00357097">
        <w:rPr>
          <w:bCs/>
        </w:rPr>
        <w:t xml:space="preserve">: </w:t>
      </w:r>
    </w:p>
    <w:p w14:paraId="5A0802DF" w14:textId="27924E0F" w:rsidR="007B7815" w:rsidRDefault="007B7815" w:rsidP="00D37CC5">
      <w:pPr>
        <w:pStyle w:val="ListParagraph"/>
        <w:numPr>
          <w:ilvl w:val="0"/>
          <w:numId w:val="1"/>
        </w:numPr>
        <w:spacing w:after="120"/>
        <w:rPr>
          <w:bCs/>
        </w:rPr>
      </w:pPr>
      <w:r>
        <w:rPr>
          <w:bCs/>
        </w:rPr>
        <w:t>An indication of the likely scale of demand emerging from key clean energy developments</w:t>
      </w:r>
      <w:r w:rsidR="007C2311">
        <w:rPr>
          <w:bCs/>
        </w:rPr>
        <w:t xml:space="preserve"> and the phasing of this demand over the lifetime of the LSIP (to 2026) and beyond</w:t>
      </w:r>
    </w:p>
    <w:p w14:paraId="4672638C" w14:textId="77777777" w:rsidR="007C2311" w:rsidRDefault="007C2311" w:rsidP="00D37CC5">
      <w:pPr>
        <w:pStyle w:val="ListParagraph"/>
        <w:numPr>
          <w:ilvl w:val="0"/>
          <w:numId w:val="1"/>
        </w:numPr>
        <w:spacing w:after="120"/>
        <w:rPr>
          <w:bCs/>
        </w:rPr>
      </w:pPr>
      <w:r>
        <w:rPr>
          <w:bCs/>
        </w:rPr>
        <w:t>A sense of the likely occupations that either are already, or will be in high demand as a result of the transition to clean energy in the county</w:t>
      </w:r>
    </w:p>
    <w:p w14:paraId="432816F4" w14:textId="1A178152" w:rsidR="007C2311" w:rsidRPr="00181FB1" w:rsidRDefault="007C2311" w:rsidP="00D37CC5">
      <w:pPr>
        <w:pStyle w:val="ListParagraph"/>
        <w:numPr>
          <w:ilvl w:val="0"/>
          <w:numId w:val="1"/>
        </w:numPr>
        <w:spacing w:after="120"/>
        <w:rPr>
          <w:bCs/>
        </w:rPr>
      </w:pPr>
      <w:r>
        <w:rPr>
          <w:bCs/>
        </w:rPr>
        <w:t xml:space="preserve">Information that highlights any </w:t>
      </w:r>
      <w:r w:rsidR="00357097" w:rsidRPr="00357097">
        <w:rPr>
          <w:bCs/>
        </w:rPr>
        <w:t xml:space="preserve">workforce development needs for </w:t>
      </w:r>
      <w:r>
        <w:rPr>
          <w:bCs/>
        </w:rPr>
        <w:t xml:space="preserve">employers’ </w:t>
      </w:r>
      <w:r w:rsidR="00357097" w:rsidRPr="00357097">
        <w:rPr>
          <w:bCs/>
        </w:rPr>
        <w:t>existing staff</w:t>
      </w:r>
    </w:p>
    <w:p w14:paraId="59AE12CD" w14:textId="77777777" w:rsidR="0033283A" w:rsidRDefault="00326C43" w:rsidP="00F825CD">
      <w:pPr>
        <w:spacing w:after="120"/>
        <w:rPr>
          <w:bCs/>
        </w:rPr>
      </w:pPr>
      <w:r>
        <w:rPr>
          <w:bCs/>
        </w:rPr>
        <w:t xml:space="preserve">This evidence will be converted into a set of </w:t>
      </w:r>
      <w:r w:rsidRPr="00F83F51">
        <w:rPr>
          <w:b/>
        </w:rPr>
        <w:t>actionable priorities</w:t>
      </w:r>
      <w:r>
        <w:rPr>
          <w:bCs/>
        </w:rPr>
        <w:t xml:space="preserve"> for clean energy skills in Cumbria –</w:t>
      </w:r>
      <w:r w:rsidR="006B024C">
        <w:rPr>
          <w:bCs/>
        </w:rPr>
        <w:t xml:space="preserve">describing the type of response that </w:t>
      </w:r>
      <w:r w:rsidR="0033283A">
        <w:rPr>
          <w:bCs/>
        </w:rPr>
        <w:t xml:space="preserve">will be required to ensure that each identified skills needs can be addressed. </w:t>
      </w:r>
    </w:p>
    <w:p w14:paraId="105D1A6A" w14:textId="57523ECE" w:rsidR="00F83F51" w:rsidRPr="004C46FD" w:rsidRDefault="00B647FD" w:rsidP="00F83F51">
      <w:r>
        <w:rPr>
          <w:bCs/>
        </w:rPr>
        <w:t xml:space="preserve">Finally, the report will </w:t>
      </w:r>
      <w:r w:rsidR="00F83F51">
        <w:rPr>
          <w:bCs/>
        </w:rPr>
        <w:t>outline a proposed</w:t>
      </w:r>
      <w:r w:rsidR="0087386D">
        <w:rPr>
          <w:bCs/>
        </w:rPr>
        <w:t xml:space="preserve"> high level</w:t>
      </w:r>
      <w:r w:rsidR="00F83F51">
        <w:rPr>
          <w:bCs/>
        </w:rPr>
        <w:t xml:space="preserve"> implementation plan, setting out the </w:t>
      </w:r>
      <w:r w:rsidR="00F83F51" w:rsidRPr="00F83F51">
        <w:rPr>
          <w:b/>
        </w:rPr>
        <w:t>way forward</w:t>
      </w:r>
      <w:r w:rsidR="00F83F51">
        <w:rPr>
          <w:bCs/>
        </w:rPr>
        <w:t xml:space="preserve">. This will describe how the response to the actionable priorities </w:t>
      </w:r>
      <w:r w:rsidR="00F83F51">
        <w:t xml:space="preserve">can best be led and managed within Cumbria – articulating the desired change, the actions required (as far as known), the owner of the action, timescales and any funding implications. </w:t>
      </w:r>
    </w:p>
    <w:p w14:paraId="3522B13C" w14:textId="18AF0F66" w:rsidR="009A64A0" w:rsidRDefault="00817367" w:rsidP="00F825CD">
      <w:pPr>
        <w:spacing w:after="120"/>
        <w:rPr>
          <w:bCs/>
        </w:rPr>
      </w:pPr>
      <w:r>
        <w:rPr>
          <w:bCs/>
        </w:rPr>
        <w:t xml:space="preserve">It should be noted that there remains considerable uncertainty about both the scale and timing of clean energy activity within Cumbria. </w:t>
      </w:r>
      <w:r w:rsidR="009A64A0">
        <w:rPr>
          <w:bCs/>
        </w:rPr>
        <w:t xml:space="preserve">Therefore the project will seek to build an approach to projecting future skills requirements arising from clean energy that can be reviewed and updated as greater clarity of Whitehall policy intent becomes available, and as more detailed </w:t>
      </w:r>
      <w:r w:rsidR="009045BC">
        <w:rPr>
          <w:bCs/>
        </w:rPr>
        <w:t xml:space="preserve">clean energy </w:t>
      </w:r>
      <w:r w:rsidR="009A64A0">
        <w:rPr>
          <w:bCs/>
        </w:rPr>
        <w:t xml:space="preserve">plans for Cumbria (from which more precise labour market forecasts can be developed) begin to crystallise. </w:t>
      </w:r>
    </w:p>
    <w:p w14:paraId="0EF60B63" w14:textId="2FD03BC4" w:rsidR="009A64A0" w:rsidRPr="00AE0632" w:rsidRDefault="00AE0632" w:rsidP="00AE0632">
      <w:pPr>
        <w:pStyle w:val="Heading2"/>
      </w:pPr>
      <w:bookmarkStart w:id="4" w:name="_Toc135938254"/>
      <w:r>
        <w:t xml:space="preserve">2.3 </w:t>
      </w:r>
      <w:r w:rsidR="009A64A0" w:rsidRPr="00AE0632">
        <w:t>Method</w:t>
      </w:r>
      <w:bookmarkEnd w:id="4"/>
    </w:p>
    <w:p w14:paraId="280F42B4" w14:textId="78F81AC5" w:rsidR="009A64A0" w:rsidRDefault="009A64A0" w:rsidP="00F825CD">
      <w:pPr>
        <w:spacing w:after="120"/>
        <w:rPr>
          <w:bCs/>
        </w:rPr>
      </w:pPr>
      <w:r>
        <w:rPr>
          <w:bCs/>
        </w:rPr>
        <w:t xml:space="preserve">Accurate projections of future labour market need are especially difficult in an environment where insufficient information about the timing, scale and scope of key developments is yet to be determined. Experience from previous </w:t>
      </w:r>
      <w:r w:rsidR="00F87050">
        <w:rPr>
          <w:bCs/>
        </w:rPr>
        <w:t>net z</w:t>
      </w:r>
      <w:r>
        <w:rPr>
          <w:bCs/>
        </w:rPr>
        <w:t xml:space="preserve">ero projects suggests that the majority of employers have little understanding of their future skills requirements in relation to low carbon technologies, except in very general terms.  </w:t>
      </w:r>
    </w:p>
    <w:p w14:paraId="6C7EB673" w14:textId="0F258013" w:rsidR="009A64A0" w:rsidRDefault="009A64A0" w:rsidP="00F825CD">
      <w:pPr>
        <w:spacing w:after="120"/>
        <w:rPr>
          <w:bCs/>
        </w:rPr>
      </w:pPr>
      <w:r>
        <w:rPr>
          <w:bCs/>
        </w:rPr>
        <w:t xml:space="preserve">In light of the project timescale, available resource and the considerable degree of uncertainty around many of the proposed clean energy developments, </w:t>
      </w:r>
      <w:r w:rsidR="00091D2F">
        <w:rPr>
          <w:bCs/>
        </w:rPr>
        <w:t>the following method was agreed</w:t>
      </w:r>
      <w:r>
        <w:rPr>
          <w:bCs/>
        </w:rPr>
        <w:t>:</w:t>
      </w:r>
    </w:p>
    <w:p w14:paraId="60E0E32D" w14:textId="2E781781" w:rsidR="00852F8F" w:rsidRDefault="00852F8F" w:rsidP="00F825CD">
      <w:pPr>
        <w:spacing w:after="120"/>
        <w:rPr>
          <w:bCs/>
        </w:rPr>
      </w:pPr>
      <w:r w:rsidRPr="00741340">
        <w:rPr>
          <w:noProof/>
        </w:rPr>
        <w:drawing>
          <wp:inline distT="0" distB="0" distL="0" distR="0" wp14:anchorId="502A87C1" wp14:editId="043C19EF">
            <wp:extent cx="5486400" cy="4114800"/>
            <wp:effectExtent l="19050" t="0" r="19050" b="381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454ADA1" w14:textId="77777777" w:rsidR="00DA5AA3" w:rsidRPr="00284668" w:rsidRDefault="00DA5AA3" w:rsidP="00DA5AA3">
      <w:pPr>
        <w:rPr>
          <w:b/>
          <w:bCs/>
        </w:rPr>
      </w:pPr>
    </w:p>
    <w:p w14:paraId="44017E34" w14:textId="77777777" w:rsidR="00F87050" w:rsidRDefault="00F87050">
      <w:pPr>
        <w:rPr>
          <w:rFonts w:asciiTheme="majorHAnsi" w:eastAsiaTheme="majorEastAsia" w:hAnsiTheme="majorHAnsi" w:cstheme="majorBidi"/>
          <w:color w:val="2F5496" w:themeColor="accent1" w:themeShade="BF"/>
          <w:sz w:val="32"/>
          <w:szCs w:val="32"/>
        </w:rPr>
      </w:pPr>
      <w:r>
        <w:br w:type="page"/>
      </w:r>
    </w:p>
    <w:p w14:paraId="2E855FA9" w14:textId="021D959E" w:rsidR="00C91CF9" w:rsidRDefault="00C91CF9" w:rsidP="00C91CF9">
      <w:pPr>
        <w:pStyle w:val="Heading1"/>
      </w:pPr>
      <w:bookmarkStart w:id="5" w:name="_Toc135938255"/>
      <w:r>
        <w:t>3. Literature review</w:t>
      </w:r>
      <w:bookmarkEnd w:id="5"/>
      <w:r>
        <w:t xml:space="preserve"> </w:t>
      </w:r>
    </w:p>
    <w:p w14:paraId="00436D92" w14:textId="0716F5E3" w:rsidR="00C91CF9" w:rsidRDefault="00E06151" w:rsidP="00C91CF9">
      <w:r>
        <w:t>This section provides the outputs of a</w:t>
      </w:r>
      <w:r w:rsidR="00375383">
        <w:t xml:space="preserve"> </w:t>
      </w:r>
      <w:r>
        <w:t xml:space="preserve">review of </w:t>
      </w:r>
      <w:r w:rsidR="00375383">
        <w:t xml:space="preserve">the extensive </w:t>
      </w:r>
      <w:r w:rsidR="00BC5911">
        <w:t xml:space="preserve">current literature </w:t>
      </w:r>
      <w:r>
        <w:t>relating to the development of clean energy within Cumbria. It concludes with a summary of the relevant point</w:t>
      </w:r>
      <w:r w:rsidR="00920086">
        <w:t xml:space="preserve">s from the existing literature. </w:t>
      </w:r>
    </w:p>
    <w:p w14:paraId="27B35A94" w14:textId="55A99AFD" w:rsidR="00920086" w:rsidRDefault="00D04C16" w:rsidP="00194DC5">
      <w:pPr>
        <w:pStyle w:val="Heading2"/>
      </w:pPr>
      <w:bookmarkStart w:id="6" w:name="_Toc135938256"/>
      <w:r>
        <w:t xml:space="preserve">3.1 </w:t>
      </w:r>
      <w:r w:rsidR="00194DC5">
        <w:t>Key national</w:t>
      </w:r>
      <w:r>
        <w:t xml:space="preserve"> </w:t>
      </w:r>
      <w:r w:rsidR="00826DE1">
        <w:t>strateg</w:t>
      </w:r>
      <w:r w:rsidR="002262EF">
        <w:t>ies and plans</w:t>
      </w:r>
      <w:bookmarkEnd w:id="6"/>
      <w:r w:rsidR="002262EF">
        <w:t xml:space="preserve"> </w:t>
      </w:r>
    </w:p>
    <w:p w14:paraId="4EAEA221" w14:textId="0C911CBB" w:rsidR="002B0AF2" w:rsidRDefault="002B0AF2" w:rsidP="00194DC5">
      <w:pPr>
        <w:spacing w:after="0"/>
      </w:pPr>
      <w:r>
        <w:t xml:space="preserve">The economic opportunities arising from the UK’s transition to net zero have received a high level of attention from national politicians over recent years. Outlined below are a handful of key national policy documents, which help for provide the context for clean energy in Cumbria: </w:t>
      </w:r>
    </w:p>
    <w:p w14:paraId="28B019DA" w14:textId="77777777" w:rsidR="002B0AF2" w:rsidRDefault="002B0AF2" w:rsidP="00194DC5">
      <w:pPr>
        <w:spacing w:after="0"/>
      </w:pPr>
    </w:p>
    <w:p w14:paraId="28E2C5A6" w14:textId="1C8EADD9" w:rsidR="00194DC5" w:rsidRDefault="00194DC5" w:rsidP="00194DC5">
      <w:pPr>
        <w:spacing w:after="0"/>
        <w:rPr>
          <w:u w:val="single"/>
        </w:rPr>
      </w:pPr>
      <w:r w:rsidRPr="009E3C76">
        <w:rPr>
          <w:b/>
          <w:bCs/>
          <w:u w:val="single"/>
        </w:rPr>
        <w:t>The Ten Point Plan for a Green Industrial Revolution</w:t>
      </w:r>
      <w:r>
        <w:rPr>
          <w:rStyle w:val="FootnoteReference"/>
          <w:u w:val="single"/>
        </w:rPr>
        <w:footnoteReference w:id="3"/>
      </w:r>
    </w:p>
    <w:p w14:paraId="0EC18012" w14:textId="0842A8F9" w:rsidR="00194DC5" w:rsidRDefault="00194DC5" w:rsidP="00194DC5">
      <w:r>
        <w:t>Published by HM Government in November 2020, the Ten Point Plan was billed as “</w:t>
      </w:r>
      <w:r w:rsidRPr="00D812FF">
        <w:rPr>
          <w:i/>
          <w:iCs/>
        </w:rPr>
        <w:t>the approach Government will take to build back better, support green jobs, and accelerate our path to net zero</w:t>
      </w:r>
      <w:r>
        <w:t>”</w:t>
      </w:r>
      <w:r w:rsidR="00F03D01">
        <w:t>. T</w:t>
      </w:r>
      <w:r>
        <w:t>he Plan, led by the Department for Business, Energy and Industrial Strategy (BEIS) identifies ten key opportunities that the green industrial revolution creates for the UK economy:</w:t>
      </w:r>
    </w:p>
    <w:p w14:paraId="305AE052" w14:textId="77777777" w:rsidR="00194DC5" w:rsidRDefault="00194DC5" w:rsidP="00194DC5">
      <w:pPr>
        <w:spacing w:after="0"/>
      </w:pPr>
      <w:r>
        <w:t xml:space="preserve">1. Advancing Offshore Wind </w:t>
      </w:r>
    </w:p>
    <w:p w14:paraId="295C82F5" w14:textId="77777777" w:rsidR="00194DC5" w:rsidRDefault="00194DC5" w:rsidP="00194DC5">
      <w:pPr>
        <w:spacing w:after="0"/>
      </w:pPr>
      <w:r>
        <w:t xml:space="preserve">2. Driving the Growth of Low Carbon Hydrogen </w:t>
      </w:r>
    </w:p>
    <w:p w14:paraId="5D18AA53" w14:textId="77777777" w:rsidR="00194DC5" w:rsidRDefault="00194DC5" w:rsidP="00194DC5">
      <w:pPr>
        <w:spacing w:after="0"/>
      </w:pPr>
      <w:r>
        <w:t xml:space="preserve">3. Delivering New and Advanced Nuclear Power </w:t>
      </w:r>
    </w:p>
    <w:p w14:paraId="164B0A45" w14:textId="77777777" w:rsidR="00194DC5" w:rsidRDefault="00194DC5" w:rsidP="00194DC5">
      <w:pPr>
        <w:spacing w:after="0"/>
      </w:pPr>
      <w:r>
        <w:t xml:space="preserve">4. Accelerating the Shift to Zero Emission Vehicles </w:t>
      </w:r>
    </w:p>
    <w:p w14:paraId="57D5C3EB" w14:textId="77777777" w:rsidR="00194DC5" w:rsidRDefault="00194DC5" w:rsidP="00194DC5">
      <w:pPr>
        <w:spacing w:after="0"/>
      </w:pPr>
      <w:r>
        <w:t xml:space="preserve">5. Green Public Transport, Cycling and Walking Point </w:t>
      </w:r>
    </w:p>
    <w:p w14:paraId="3EC9F9D2" w14:textId="77777777" w:rsidR="00194DC5" w:rsidRDefault="00194DC5" w:rsidP="00194DC5">
      <w:pPr>
        <w:spacing w:after="0"/>
      </w:pPr>
      <w:r>
        <w:t xml:space="preserve">6. Jet Zero and Green Ships </w:t>
      </w:r>
    </w:p>
    <w:p w14:paraId="6581B2E5" w14:textId="77777777" w:rsidR="00194DC5" w:rsidRDefault="00194DC5" w:rsidP="00194DC5">
      <w:pPr>
        <w:spacing w:after="0"/>
      </w:pPr>
      <w:r>
        <w:t xml:space="preserve">7. Greener Buildings </w:t>
      </w:r>
    </w:p>
    <w:p w14:paraId="3BB8F194" w14:textId="77777777" w:rsidR="00194DC5" w:rsidRDefault="00194DC5" w:rsidP="00194DC5">
      <w:pPr>
        <w:spacing w:after="0"/>
      </w:pPr>
      <w:r>
        <w:t xml:space="preserve">8. Investing in Carbon Capture, Usage and Storage </w:t>
      </w:r>
    </w:p>
    <w:p w14:paraId="4118944E" w14:textId="77777777" w:rsidR="00194DC5" w:rsidRDefault="00194DC5" w:rsidP="00194DC5">
      <w:pPr>
        <w:spacing w:after="0"/>
      </w:pPr>
      <w:r>
        <w:t xml:space="preserve">9. Protecting Our Natural Environment </w:t>
      </w:r>
    </w:p>
    <w:p w14:paraId="66FE507F" w14:textId="77777777" w:rsidR="00194DC5" w:rsidRPr="00DB2CBF" w:rsidRDefault="00194DC5" w:rsidP="00194DC5">
      <w:pPr>
        <w:spacing w:after="120"/>
      </w:pPr>
      <w:r>
        <w:t>10. Green Finance and Innovation</w:t>
      </w:r>
    </w:p>
    <w:p w14:paraId="4A852EE0" w14:textId="7264161F" w:rsidR="00966F6A" w:rsidRDefault="00B161F7" w:rsidP="002851D7">
      <w:pPr>
        <w:spacing w:after="0"/>
      </w:pPr>
      <w:r>
        <w:t>O</w:t>
      </w:r>
      <w:r w:rsidR="00192DDD">
        <w:t>pportunities (1), (2), (3) and (8) are relevant to clean energy</w:t>
      </w:r>
      <w:r w:rsidR="00966F6A">
        <w:t>, with the plan describing how:</w:t>
      </w:r>
    </w:p>
    <w:p w14:paraId="2DC20F65" w14:textId="2B2212FA" w:rsidR="00966F6A" w:rsidRDefault="00966F6A" w:rsidP="00D37CC5">
      <w:pPr>
        <w:pStyle w:val="ListParagraph"/>
        <w:numPr>
          <w:ilvl w:val="0"/>
          <w:numId w:val="4"/>
        </w:numPr>
      </w:pPr>
      <w:r>
        <w:t>Low carbon hydrogen could create 10,000 UK jobs by 2030 and 100,000 by 2050 under a high-growth scenario</w:t>
      </w:r>
    </w:p>
    <w:p w14:paraId="19C0F7CA" w14:textId="16E3A71C" w:rsidR="00D50E46" w:rsidRDefault="00D50E46" w:rsidP="00D37CC5">
      <w:pPr>
        <w:pStyle w:val="ListParagraph"/>
        <w:numPr>
          <w:ilvl w:val="0"/>
          <w:numId w:val="4"/>
        </w:numPr>
      </w:pPr>
      <w:r>
        <w:t>Employment at large-scale nuclear plants (such as at Hinkley Point) peaks at around 10,000 during the construction phase</w:t>
      </w:r>
      <w:r w:rsidR="008E3CD7">
        <w:t>, falling to around 900 during the operational phase</w:t>
      </w:r>
    </w:p>
    <w:p w14:paraId="39E5EF79" w14:textId="758864C2" w:rsidR="008E3CD7" w:rsidRDefault="00614F7C" w:rsidP="00D37CC5">
      <w:pPr>
        <w:pStyle w:val="ListParagraph"/>
        <w:numPr>
          <w:ilvl w:val="0"/>
          <w:numId w:val="4"/>
        </w:numPr>
      </w:pPr>
      <w:r>
        <w:t>Carbon c</w:t>
      </w:r>
      <w:r w:rsidR="00E92E63">
        <w:t xml:space="preserve">apture </w:t>
      </w:r>
      <w:r w:rsidR="00971B4C">
        <w:t>could</w:t>
      </w:r>
      <w:r w:rsidR="005C4535">
        <w:t xml:space="preserve"> support around 50,000 jobs by 2030</w:t>
      </w:r>
    </w:p>
    <w:p w14:paraId="45630203" w14:textId="078CC15C" w:rsidR="00194DC5" w:rsidRDefault="00232E0E" w:rsidP="00D37CC5">
      <w:pPr>
        <w:pStyle w:val="ListParagraph"/>
        <w:numPr>
          <w:ilvl w:val="0"/>
          <w:numId w:val="4"/>
        </w:numPr>
      </w:pPr>
      <w:r>
        <w:t xml:space="preserve">The plan </w:t>
      </w:r>
      <w:r w:rsidR="002851D7">
        <w:t xml:space="preserve">describes </w:t>
      </w:r>
      <w:r w:rsidR="00194DC5">
        <w:t>how “</w:t>
      </w:r>
      <w:r w:rsidR="00194DC5" w:rsidRPr="00966F6A">
        <w:rPr>
          <w:i/>
          <w:iCs/>
        </w:rPr>
        <w:t>engineers, fitters, construction workers and many others</w:t>
      </w:r>
      <w:r w:rsidR="00194DC5">
        <w:t xml:space="preserve">” will have a key role in using new science and technology to </w:t>
      </w:r>
      <w:r w:rsidR="002851D7">
        <w:t>harness opportunities</w:t>
      </w:r>
      <w:r w:rsidR="00194DC5">
        <w:t xml:space="preserve">. </w:t>
      </w:r>
    </w:p>
    <w:p w14:paraId="0250F9D2" w14:textId="77777777" w:rsidR="00194DC5" w:rsidRDefault="00194DC5" w:rsidP="00194DC5">
      <w:pPr>
        <w:spacing w:after="0"/>
        <w:rPr>
          <w:u w:val="single"/>
        </w:rPr>
      </w:pPr>
      <w:r w:rsidRPr="009E3C76">
        <w:rPr>
          <w:b/>
          <w:bCs/>
          <w:u w:val="single"/>
        </w:rPr>
        <w:t>Net Zero Strategy: Build Back Greener</w:t>
      </w:r>
      <w:r>
        <w:rPr>
          <w:rStyle w:val="FootnoteReference"/>
          <w:u w:val="single"/>
        </w:rPr>
        <w:footnoteReference w:id="4"/>
      </w:r>
    </w:p>
    <w:p w14:paraId="778CA0C3" w14:textId="7A55770F" w:rsidR="00194DC5" w:rsidRPr="008A0BD4" w:rsidRDefault="00194DC5" w:rsidP="00194DC5">
      <w:r w:rsidRPr="008A0BD4">
        <w:t>Published in October 2021</w:t>
      </w:r>
      <w:r>
        <w:t>, the 386-page net zero strategy focused more clearly on green skills, built around the industries (</w:t>
      </w:r>
      <w:proofErr w:type="spellStart"/>
      <w:r>
        <w:t>eg</w:t>
      </w:r>
      <w:proofErr w:type="spellEnd"/>
      <w:r>
        <w:t xml:space="preserve"> power supply, heat and buildings, transport, natural resources etc) that will be key to the UK achieving its net zero target by 2050. </w:t>
      </w:r>
    </w:p>
    <w:p w14:paraId="690050E0" w14:textId="77777777" w:rsidR="00194DC5" w:rsidRDefault="00194DC5" w:rsidP="00194DC5">
      <w:pPr>
        <w:spacing w:after="0"/>
      </w:pPr>
      <w:r>
        <w:t>On skills, the strategy identifies four skills priorities:</w:t>
      </w:r>
    </w:p>
    <w:p w14:paraId="4C2B91D8" w14:textId="77777777" w:rsidR="00194DC5" w:rsidRDefault="00194DC5" w:rsidP="00D37CC5">
      <w:pPr>
        <w:pStyle w:val="ListParagraph"/>
        <w:numPr>
          <w:ilvl w:val="0"/>
          <w:numId w:val="3"/>
        </w:numPr>
        <w:spacing w:after="0"/>
      </w:pPr>
      <w:r>
        <w:t xml:space="preserve">Making the skills system more responsive to the needs of employers so that providers, employers, and workers are incentivised and equipped to support the net zero transition; </w:t>
      </w:r>
    </w:p>
    <w:p w14:paraId="3E86D799" w14:textId="77777777" w:rsidR="00194DC5" w:rsidRDefault="00194DC5" w:rsidP="00D37CC5">
      <w:pPr>
        <w:pStyle w:val="ListParagraph"/>
        <w:numPr>
          <w:ilvl w:val="0"/>
          <w:numId w:val="3"/>
        </w:numPr>
        <w:spacing w:after="0"/>
      </w:pPr>
      <w:r>
        <w:t xml:space="preserve">Enhancing support for workers in the high carbon economy to transition to green jobs; </w:t>
      </w:r>
    </w:p>
    <w:p w14:paraId="5609D109" w14:textId="67EE2B3C" w:rsidR="00194DC5" w:rsidRDefault="00194DC5" w:rsidP="00D37CC5">
      <w:pPr>
        <w:pStyle w:val="ListParagraph"/>
        <w:numPr>
          <w:ilvl w:val="0"/>
          <w:numId w:val="3"/>
        </w:numPr>
        <w:spacing w:after="0"/>
      </w:pPr>
      <w:r>
        <w:t>Ensuring people from all backgrounds can access opportunities in the green economy, including through career</w:t>
      </w:r>
      <w:r w:rsidR="00617063">
        <w:t>s</w:t>
      </w:r>
      <w:r>
        <w:t xml:space="preserve"> advice; and, </w:t>
      </w:r>
    </w:p>
    <w:p w14:paraId="51A538E9" w14:textId="77777777" w:rsidR="00194DC5" w:rsidRDefault="00194DC5" w:rsidP="00D37CC5">
      <w:pPr>
        <w:pStyle w:val="ListParagraph"/>
        <w:numPr>
          <w:ilvl w:val="0"/>
          <w:numId w:val="3"/>
        </w:numPr>
      </w:pPr>
      <w:r>
        <w:t>Providing children and young people with the high-quality education and training they need to work in a future green career, through better teacher training and development in STEM and other key subjects, and expanding post-16 training in line with the needs of the green economy.</w:t>
      </w:r>
    </w:p>
    <w:p w14:paraId="4A851909" w14:textId="77777777" w:rsidR="00194DC5" w:rsidRPr="002E487E" w:rsidRDefault="00194DC5" w:rsidP="00194DC5">
      <w:pPr>
        <w:spacing w:after="0"/>
        <w:rPr>
          <w:b/>
          <w:bCs/>
          <w:u w:val="single"/>
        </w:rPr>
      </w:pPr>
      <w:r w:rsidRPr="002E487E">
        <w:rPr>
          <w:b/>
          <w:bCs/>
          <w:u w:val="single"/>
        </w:rPr>
        <w:t>Green Jobs Taskforce</w:t>
      </w:r>
      <w:r>
        <w:rPr>
          <w:rStyle w:val="FootnoteReference"/>
          <w:b/>
          <w:bCs/>
          <w:u w:val="single"/>
        </w:rPr>
        <w:footnoteReference w:id="5"/>
      </w:r>
    </w:p>
    <w:p w14:paraId="4212A0E7" w14:textId="58E982B7" w:rsidR="00194DC5" w:rsidRDefault="00194DC5" w:rsidP="00C61112">
      <w:r>
        <w:t>Government’s Green Jobs Taskforce report, published in 2021, provided an indication of the likely scale of demand for green jobs and skills in the UK economy. It concluded tha</w:t>
      </w:r>
      <w:r w:rsidR="00C61112">
        <w:t>t t</w:t>
      </w:r>
      <w:r>
        <w:t>here are 410,000 jobs in low carbon businesses and supply chains in the UK (1.1% of all jobs)</w:t>
      </w:r>
      <w:r w:rsidR="00C61112">
        <w:t xml:space="preserve"> and that t</w:t>
      </w:r>
      <w:r>
        <w:t>hese businesses turn over an estimated £42.6bn annually, with exports of £7bn.</w:t>
      </w:r>
      <w:r w:rsidR="00C61112">
        <w:t xml:space="preserve"> An estimated </w:t>
      </w:r>
      <w:r>
        <w:t>10% of jobs in the whole economy may experience demand growth through the transition to a green economy, however 10% jobs may also see a reduction in demand at the same time.</w:t>
      </w:r>
    </w:p>
    <w:p w14:paraId="6E616168" w14:textId="7D169757" w:rsidR="00194DC5" w:rsidRDefault="00194DC5" w:rsidP="00194DC5">
      <w:r>
        <w:t>The Taskforce report made 15 recommendations across three themes: Driving investment in net zero to support good quality green jobs; building pathways to good careers; and a ‘just transition’ for workers in the high carbon economy.</w:t>
      </w:r>
      <w:r w:rsidR="00386B0B">
        <w:t xml:space="preserve"> The Annex </w:t>
      </w:r>
      <w:r w:rsidR="00E7660F">
        <w:t xml:space="preserve">provides a helpful </w:t>
      </w:r>
      <w:r w:rsidR="00C56230">
        <w:t>indication</w:t>
      </w:r>
      <w:r w:rsidR="00E7660F">
        <w:t xml:space="preserve"> </w:t>
      </w:r>
      <w:r w:rsidR="00336C80">
        <w:t xml:space="preserve">of key occupations across most forms of clean energy generation, </w:t>
      </w:r>
      <w:r w:rsidR="00C56230">
        <w:t>including</w:t>
      </w:r>
      <w:r w:rsidR="00336C80">
        <w:t>:</w:t>
      </w:r>
    </w:p>
    <w:p w14:paraId="67D4ACC3" w14:textId="58AEFD22" w:rsidR="00336C80" w:rsidRDefault="00E9544F" w:rsidP="00D37CC5">
      <w:pPr>
        <w:pStyle w:val="ListParagraph"/>
        <w:numPr>
          <w:ilvl w:val="0"/>
          <w:numId w:val="5"/>
        </w:numPr>
      </w:pPr>
      <w:r>
        <w:t xml:space="preserve">Onshore Wind: </w:t>
      </w:r>
      <w:r w:rsidR="002C19B0">
        <w:t>Welders (L3/4), engineers (degree level), construction workers (L1-3)</w:t>
      </w:r>
    </w:p>
    <w:p w14:paraId="31AF8195" w14:textId="5B6708AF" w:rsidR="002C19B0" w:rsidRDefault="004A30BF" w:rsidP="00D37CC5">
      <w:pPr>
        <w:pStyle w:val="ListParagraph"/>
        <w:numPr>
          <w:ilvl w:val="0"/>
          <w:numId w:val="5"/>
        </w:numPr>
      </w:pPr>
      <w:r>
        <w:t>Solar: Electricians (L4), roofers (L2), engineers (degree level)</w:t>
      </w:r>
    </w:p>
    <w:p w14:paraId="124F9EC9" w14:textId="354716AE" w:rsidR="004A30BF" w:rsidRDefault="00D7257D" w:rsidP="00D37CC5">
      <w:pPr>
        <w:pStyle w:val="ListParagraph"/>
        <w:numPr>
          <w:ilvl w:val="0"/>
          <w:numId w:val="5"/>
        </w:numPr>
      </w:pPr>
      <w:r>
        <w:t xml:space="preserve">Nuclear: </w:t>
      </w:r>
      <w:r w:rsidR="00617063">
        <w:t xml:space="preserve">A </w:t>
      </w:r>
      <w:r>
        <w:t xml:space="preserve">range of nuclear-specific occupations including nuclear grade welders (L3-4), </w:t>
      </w:r>
      <w:r w:rsidR="0037102D">
        <w:t>radiation protection workers (L3-6) as well as project planning and control managers (L3-8), mechanical engineers (L</w:t>
      </w:r>
      <w:r w:rsidR="00B44635">
        <w:t xml:space="preserve">5-6), control and instrumentation engineers (L3-6). </w:t>
      </w:r>
    </w:p>
    <w:p w14:paraId="248C052F" w14:textId="4E810B4D" w:rsidR="00B44635" w:rsidRDefault="00B44635" w:rsidP="00D37CC5">
      <w:pPr>
        <w:pStyle w:val="ListParagraph"/>
        <w:numPr>
          <w:ilvl w:val="0"/>
          <w:numId w:val="5"/>
        </w:numPr>
      </w:pPr>
      <w:r>
        <w:t>Electricity networks: Grid infrastructure operative</w:t>
      </w:r>
      <w:r w:rsidR="00C33B2E">
        <w:t xml:space="preserve">s (L3-8), civil and mechanical engineers (L3-7), data analysts (L3-7), </w:t>
      </w:r>
      <w:r w:rsidR="00F47735">
        <w:t xml:space="preserve">overhead </w:t>
      </w:r>
      <w:proofErr w:type="spellStart"/>
      <w:r w:rsidR="00F47735">
        <w:t>linespeople</w:t>
      </w:r>
      <w:proofErr w:type="spellEnd"/>
      <w:r w:rsidR="00F47735">
        <w:t xml:space="preserve"> and installers (L2-7)</w:t>
      </w:r>
    </w:p>
    <w:p w14:paraId="2DBAA7CA" w14:textId="78E1C960" w:rsidR="00F47735" w:rsidRPr="00194DC5" w:rsidRDefault="00474F20" w:rsidP="00D37CC5">
      <w:pPr>
        <w:pStyle w:val="ListParagraph"/>
        <w:numPr>
          <w:ilvl w:val="0"/>
          <w:numId w:val="5"/>
        </w:numPr>
      </w:pPr>
      <w:r>
        <w:t xml:space="preserve">CCUS and </w:t>
      </w:r>
      <w:r w:rsidR="004D1D3E">
        <w:t>H</w:t>
      </w:r>
      <w:r>
        <w:t xml:space="preserve">ydrogen: no occupations </w:t>
      </w:r>
      <w:r w:rsidR="004D1D3E">
        <w:t>listed</w:t>
      </w:r>
      <w:r>
        <w:t xml:space="preserve"> </w:t>
      </w:r>
      <w:r w:rsidR="00A57EDA">
        <w:t>due to ‘limited’</w:t>
      </w:r>
      <w:r>
        <w:t xml:space="preserve"> </w:t>
      </w:r>
      <w:r w:rsidR="004D1D3E">
        <w:t xml:space="preserve">evidence in these </w:t>
      </w:r>
      <w:r w:rsidR="009B0F39">
        <w:t>emerging sectors</w:t>
      </w:r>
      <w:r w:rsidR="00147B32">
        <w:t>.</w:t>
      </w:r>
      <w:r w:rsidR="009B0F39">
        <w:t xml:space="preserve"> </w:t>
      </w:r>
    </w:p>
    <w:p w14:paraId="65990AB6" w14:textId="0943903A" w:rsidR="002262EF" w:rsidRDefault="002262EF" w:rsidP="002262EF">
      <w:pPr>
        <w:pStyle w:val="Heading2"/>
      </w:pPr>
      <w:bookmarkStart w:id="7" w:name="_Toc135938257"/>
      <w:r>
        <w:t>3.2 Key local strategies and plans</w:t>
      </w:r>
      <w:bookmarkEnd w:id="7"/>
    </w:p>
    <w:p w14:paraId="4780C4B1" w14:textId="31F59B77" w:rsidR="00DA5AA3" w:rsidRDefault="006D0071" w:rsidP="00C91CF9">
      <w:r>
        <w:t>Local strategy documents with relevance to clean energy in Cumbria include:</w:t>
      </w:r>
    </w:p>
    <w:p w14:paraId="331EE51D" w14:textId="0B205463" w:rsidR="006D0071" w:rsidRPr="006D0071" w:rsidRDefault="006D0071" w:rsidP="00302012">
      <w:pPr>
        <w:spacing w:after="0"/>
        <w:rPr>
          <w:b/>
          <w:bCs/>
          <w:u w:val="single"/>
        </w:rPr>
      </w:pPr>
      <w:r w:rsidRPr="006D0071">
        <w:rPr>
          <w:b/>
          <w:bCs/>
          <w:u w:val="single"/>
        </w:rPr>
        <w:t>Cumbria Clean Energy Strategy</w:t>
      </w:r>
      <w:r w:rsidR="001427C3">
        <w:rPr>
          <w:rStyle w:val="FootnoteReference"/>
        </w:rPr>
        <w:footnoteReference w:id="6"/>
      </w:r>
    </w:p>
    <w:p w14:paraId="78DA1067" w14:textId="6ADBBE4C" w:rsidR="00025489" w:rsidRDefault="00A202C4" w:rsidP="00C91CF9">
      <w:r>
        <w:t xml:space="preserve">Describing Cumbria as ‘at the forefront of the UK’s commitment to net zero’, the Cumbria Clean Energy Strategy </w:t>
      </w:r>
      <w:r w:rsidR="00982068">
        <w:t>(</w:t>
      </w:r>
      <w:r>
        <w:t>CCES</w:t>
      </w:r>
      <w:r w:rsidR="00982068">
        <w:t>)</w:t>
      </w:r>
      <w:r w:rsidR="000D4AEA">
        <w:t xml:space="preserve"> outlines how the county can help decarbonise via growth in clean energy and the reduction of emissions.</w:t>
      </w:r>
      <w:r w:rsidR="0036303A">
        <w:t xml:space="preserve"> On the former, the focus is on offshore wind, nuclear, hydrogen/CCUS, and renewables. </w:t>
      </w:r>
      <w:r w:rsidR="00B33A71">
        <w:t>The strategy notes Cumbria’s advantages in relation to clean energy</w:t>
      </w:r>
      <w:r w:rsidR="00025489">
        <w:t>, such as:</w:t>
      </w:r>
    </w:p>
    <w:p w14:paraId="32953F67" w14:textId="743765FF" w:rsidR="00025489" w:rsidRDefault="00025489" w:rsidP="00D37CC5">
      <w:pPr>
        <w:pStyle w:val="ListParagraph"/>
        <w:numPr>
          <w:ilvl w:val="0"/>
          <w:numId w:val="6"/>
        </w:numPr>
      </w:pPr>
      <w:r>
        <w:rPr>
          <w:b/>
          <w:bCs/>
        </w:rPr>
        <w:t>N</w:t>
      </w:r>
      <w:r w:rsidR="00B33A71" w:rsidRPr="00025489">
        <w:rPr>
          <w:b/>
          <w:bCs/>
        </w:rPr>
        <w:t>atural capital</w:t>
      </w:r>
      <w:r w:rsidR="00A0630B">
        <w:t xml:space="preserve"> – t</w:t>
      </w:r>
      <w:r>
        <w:t>he aspects of the county’s physical geography and geology that leave it well placed to harness clean energy opportunities</w:t>
      </w:r>
      <w:r w:rsidR="0013308B">
        <w:t>.</w:t>
      </w:r>
    </w:p>
    <w:p w14:paraId="202FA4C4" w14:textId="597519AC" w:rsidR="00834867" w:rsidRDefault="00025489" w:rsidP="00D37CC5">
      <w:pPr>
        <w:pStyle w:val="ListParagraph"/>
        <w:numPr>
          <w:ilvl w:val="0"/>
          <w:numId w:val="6"/>
        </w:numPr>
      </w:pPr>
      <w:r w:rsidRPr="00025489">
        <w:rPr>
          <w:b/>
          <w:bCs/>
        </w:rPr>
        <w:t>S</w:t>
      </w:r>
      <w:r w:rsidR="000C5DC3" w:rsidRPr="00025489">
        <w:rPr>
          <w:b/>
          <w:bCs/>
        </w:rPr>
        <w:t>upply chain strengths</w:t>
      </w:r>
      <w:r w:rsidR="00A0630B">
        <w:t xml:space="preserve"> –</w:t>
      </w:r>
      <w:r w:rsidR="004470D6">
        <w:t xml:space="preserve"> </w:t>
      </w:r>
      <w:r w:rsidR="00A0630B">
        <w:t xml:space="preserve">Cumbria’s </w:t>
      </w:r>
      <w:r w:rsidR="00302012">
        <w:t xml:space="preserve">strong engineering and manufacturing base, </w:t>
      </w:r>
      <w:r w:rsidR="00B752FE">
        <w:t>with expertise in nuclear, advanced manufacturing, marine engineering</w:t>
      </w:r>
      <w:r w:rsidR="00C0717E">
        <w:t xml:space="preserve"> and civil engineering. </w:t>
      </w:r>
    </w:p>
    <w:p w14:paraId="66508C9A" w14:textId="1F5DDF17" w:rsidR="005B621B" w:rsidRDefault="00C0717E" w:rsidP="00D37CC5">
      <w:pPr>
        <w:pStyle w:val="ListParagraph"/>
        <w:numPr>
          <w:ilvl w:val="0"/>
          <w:numId w:val="6"/>
        </w:numPr>
      </w:pPr>
      <w:r>
        <w:rPr>
          <w:b/>
          <w:bCs/>
        </w:rPr>
        <w:t xml:space="preserve">Enabling infrastructure </w:t>
      </w:r>
      <w:r>
        <w:t xml:space="preserve">– the presence of critical </w:t>
      </w:r>
      <w:r w:rsidR="0041474B">
        <w:t xml:space="preserve">energy </w:t>
      </w:r>
      <w:r>
        <w:t>transmission and storage networks</w:t>
      </w:r>
    </w:p>
    <w:p w14:paraId="489027FF" w14:textId="0C861479" w:rsidR="0029595F" w:rsidRDefault="0029595F" w:rsidP="00D37CC5">
      <w:pPr>
        <w:pStyle w:val="ListParagraph"/>
        <w:numPr>
          <w:ilvl w:val="0"/>
          <w:numId w:val="6"/>
        </w:numPr>
      </w:pPr>
      <w:r>
        <w:rPr>
          <w:b/>
          <w:bCs/>
        </w:rPr>
        <w:t xml:space="preserve">Skilled and innovative talent pool </w:t>
      </w:r>
      <w:r>
        <w:t>–</w:t>
      </w:r>
      <w:r w:rsidR="004470D6">
        <w:t xml:space="preserve"> </w:t>
      </w:r>
      <w:r>
        <w:t>the extensive education and training infrastructure in Cumbria</w:t>
      </w:r>
      <w:r w:rsidR="00665455">
        <w:t xml:space="preserve"> including</w:t>
      </w:r>
      <w:r>
        <w:t xml:space="preserve"> </w:t>
      </w:r>
      <w:r w:rsidR="00260F96">
        <w:t xml:space="preserve">the National College for Nuclear, </w:t>
      </w:r>
      <w:proofErr w:type="spellStart"/>
      <w:r w:rsidR="00260F96">
        <w:t>Energus</w:t>
      </w:r>
      <w:proofErr w:type="spellEnd"/>
      <w:r w:rsidR="00260F96">
        <w:t>, Gen2, Energy Coast UTC, Advanced Manufacturing Technology Centre</w:t>
      </w:r>
      <w:r w:rsidR="00AC2362">
        <w:t xml:space="preserve"> at Furness, </w:t>
      </w:r>
      <w:r w:rsidR="00665455">
        <w:t xml:space="preserve">four FE colleges and </w:t>
      </w:r>
      <w:r w:rsidR="00AC2362">
        <w:t xml:space="preserve">University of Cumbria. </w:t>
      </w:r>
    </w:p>
    <w:p w14:paraId="32E77AE1" w14:textId="6C361B48" w:rsidR="00834867" w:rsidRDefault="00AC2362" w:rsidP="00C91CF9">
      <w:r>
        <w:t xml:space="preserve">The strategy discusses the nature of the potential opportunity across different </w:t>
      </w:r>
      <w:r w:rsidR="00665455">
        <w:t>forms of clean energy generation</w:t>
      </w:r>
      <w:r w:rsidR="00A73801">
        <w:t xml:space="preserve">, setting out a high level forward plan to clarify and develop opportunities from late 2022. </w:t>
      </w:r>
      <w:r w:rsidR="00BD642B">
        <w:t xml:space="preserve">It concludes by </w:t>
      </w:r>
      <w:r w:rsidR="00AF1564">
        <w:t>highlighting three main ambitions in relation to clean energy in Cumbria:</w:t>
      </w:r>
    </w:p>
    <w:p w14:paraId="16B00142" w14:textId="10394257" w:rsidR="00AF1564" w:rsidRDefault="00AF1564" w:rsidP="00D37CC5">
      <w:pPr>
        <w:pStyle w:val="ListParagraph"/>
        <w:numPr>
          <w:ilvl w:val="0"/>
          <w:numId w:val="7"/>
        </w:numPr>
      </w:pPr>
      <w:r>
        <w:t>The generation of up to 9GW of clean energy by 2040</w:t>
      </w:r>
      <w:r w:rsidR="00FF0726">
        <w:t>, establishing C</w:t>
      </w:r>
      <w:r w:rsidR="00665455">
        <w:t xml:space="preserve">umbria </w:t>
      </w:r>
      <w:r w:rsidR="0057715D">
        <w:t>as a key clean energy producer for the UK</w:t>
      </w:r>
      <w:r w:rsidR="001B3A4E">
        <w:t>.</w:t>
      </w:r>
    </w:p>
    <w:p w14:paraId="0724CAF6" w14:textId="0C1156BD" w:rsidR="0057715D" w:rsidRDefault="003A4B4E" w:rsidP="00D37CC5">
      <w:pPr>
        <w:pStyle w:val="ListParagraph"/>
        <w:numPr>
          <w:ilvl w:val="0"/>
          <w:numId w:val="7"/>
        </w:numPr>
      </w:pPr>
      <w:r>
        <w:t>Driving up to 13,000 new jobs from clean energy deployment in Cumbria</w:t>
      </w:r>
      <w:r w:rsidR="001B3A4E">
        <w:t>.</w:t>
      </w:r>
    </w:p>
    <w:p w14:paraId="2D5A3E25" w14:textId="49532AB7" w:rsidR="003A4B4E" w:rsidRDefault="003D40B2" w:rsidP="00D37CC5">
      <w:pPr>
        <w:pStyle w:val="ListParagraph"/>
        <w:numPr>
          <w:ilvl w:val="0"/>
          <w:numId w:val="7"/>
        </w:numPr>
      </w:pPr>
      <w:r>
        <w:t xml:space="preserve">Selection of the Moorside site for innovative fusion energy, placing Cumbria at the forefront of </w:t>
      </w:r>
      <w:r w:rsidR="000D4A70">
        <w:t xml:space="preserve">‘the UK and global race for abundant long term affordable clean energy’. </w:t>
      </w:r>
    </w:p>
    <w:p w14:paraId="443E0300" w14:textId="6F17B33A" w:rsidR="000D4A70" w:rsidRDefault="00FC4ED3" w:rsidP="00FC4ED3">
      <w:pPr>
        <w:spacing w:after="0"/>
        <w:rPr>
          <w:b/>
          <w:bCs/>
          <w:u w:val="single"/>
        </w:rPr>
      </w:pPr>
      <w:r w:rsidRPr="00FC4ED3">
        <w:rPr>
          <w:b/>
          <w:bCs/>
          <w:u w:val="single"/>
        </w:rPr>
        <w:t>Business Decarbonisation: A Review of Cumbria Energy Intensive Industries</w:t>
      </w:r>
      <w:r w:rsidR="001427C3">
        <w:rPr>
          <w:rStyle w:val="FootnoteReference"/>
        </w:rPr>
        <w:footnoteReference w:id="7"/>
      </w:r>
    </w:p>
    <w:p w14:paraId="7DD342C1" w14:textId="2CA5C8DE" w:rsidR="00FC4ED3" w:rsidRDefault="00FC4ED3" w:rsidP="000D4A70">
      <w:r>
        <w:t>This report by Cumbria LEP</w:t>
      </w:r>
      <w:r w:rsidR="008A45CB">
        <w:t xml:space="preserve"> notes that industry currently accounts for 18 percent of C02 emissions within Cumbria</w:t>
      </w:r>
      <w:r w:rsidR="003B332A">
        <w:t>, with fifteen large employers identified as</w:t>
      </w:r>
      <w:r w:rsidR="0027585A">
        <w:t xml:space="preserve"> being either in scope for the UK Emissions Trading Scheme or just below threshold. </w:t>
      </w:r>
      <w:r w:rsidR="009464AA">
        <w:t xml:space="preserve">A profile of each employers is included in the report’s annex, </w:t>
      </w:r>
      <w:r w:rsidR="005E730D">
        <w:t xml:space="preserve">detailing their emissions, </w:t>
      </w:r>
      <w:r w:rsidR="00144DA7">
        <w:t xml:space="preserve">approach to net zero, key decisions and opportunities. The fifteen employers include </w:t>
      </w:r>
      <w:r w:rsidR="001F5A3F">
        <w:t>two</w:t>
      </w:r>
      <w:r w:rsidR="00144DA7">
        <w:t xml:space="preserve"> within the energy sector</w:t>
      </w:r>
      <w:r w:rsidR="001F5A3F">
        <w:t xml:space="preserve">: </w:t>
      </w:r>
      <w:r w:rsidR="00144DA7">
        <w:t xml:space="preserve">Spirit Energy </w:t>
      </w:r>
      <w:r w:rsidR="001F5A3F">
        <w:t>at Barrow, and Sellafield Ltd.</w:t>
      </w:r>
    </w:p>
    <w:p w14:paraId="4357ECA6" w14:textId="61219F7E" w:rsidR="00333C15" w:rsidRDefault="00DF555D" w:rsidP="003D7FE6">
      <w:pPr>
        <w:spacing w:after="0"/>
        <w:rPr>
          <w:b/>
          <w:bCs/>
          <w:u w:val="single"/>
        </w:rPr>
      </w:pPr>
      <w:r w:rsidRPr="00DF555D">
        <w:rPr>
          <w:b/>
          <w:bCs/>
          <w:u w:val="single"/>
        </w:rPr>
        <w:t>2050 Cumbria Balanced Scenario</w:t>
      </w:r>
      <w:r w:rsidR="003D7FE6">
        <w:rPr>
          <w:rStyle w:val="FootnoteReference"/>
          <w:b/>
          <w:bCs/>
          <w:u w:val="single"/>
        </w:rPr>
        <w:footnoteReference w:id="8"/>
      </w:r>
    </w:p>
    <w:p w14:paraId="3C8882AB" w14:textId="77777777" w:rsidR="006B5ED5" w:rsidRDefault="007335E0" w:rsidP="000D4A70">
      <w:r>
        <w:t xml:space="preserve">This report, produced by Navigant Consulting with the support of Cadent and </w:t>
      </w:r>
      <w:r w:rsidR="007A695A">
        <w:t xml:space="preserve">Electricity North West, projects how energy supply and use in Cumbria could change in pursuit of decarbonisation. It </w:t>
      </w:r>
      <w:r w:rsidR="00140773">
        <w:t>foresees that total demand within Cumbria will fall from 15.5TWH in 2018 to 9.5TWH in 2050</w:t>
      </w:r>
      <w:r w:rsidR="006B5ED5">
        <w:t>, as energy efficiency measures take effect</w:t>
      </w:r>
      <w:r w:rsidR="00140773">
        <w:t xml:space="preserve">. </w:t>
      </w:r>
    </w:p>
    <w:p w14:paraId="74019A67" w14:textId="19FBDBBD" w:rsidR="003D7FE6" w:rsidRPr="003D7FE6" w:rsidRDefault="00CF45B3" w:rsidP="000D4A70">
      <w:r>
        <w:t>While electricity (</w:t>
      </w:r>
      <w:r w:rsidR="006B5ED5">
        <w:t>mainly</w:t>
      </w:r>
      <w:r>
        <w:t xml:space="preserve"> derived from local generation) will form the largest energy supply in future, the report </w:t>
      </w:r>
      <w:r w:rsidR="00C24DB9">
        <w:t xml:space="preserve">projects that hydrogen will account for around 37% of energy supply, mainly </w:t>
      </w:r>
      <w:r w:rsidR="006B5ED5">
        <w:t>in response</w:t>
      </w:r>
      <w:r w:rsidR="00754AA3">
        <w:t xml:space="preserve"> to energy demands from </w:t>
      </w:r>
      <w:r w:rsidR="00C24DB9">
        <w:t xml:space="preserve">buildings. </w:t>
      </w:r>
      <w:r w:rsidR="00F334E9">
        <w:t xml:space="preserve">Hydrogen supply </w:t>
      </w:r>
      <w:r w:rsidR="00754AA3">
        <w:t xml:space="preserve">in Cumbria </w:t>
      </w:r>
      <w:r w:rsidR="00F334E9">
        <w:t xml:space="preserve">is expected to begin from the early 2030s, largely as a replacement for natural gas. </w:t>
      </w:r>
      <w:r w:rsidR="00C24DB9">
        <w:t xml:space="preserve">Notably, around two-thirds of hydrogen </w:t>
      </w:r>
      <w:r w:rsidR="00F334E9">
        <w:t xml:space="preserve">in Cumbria </w:t>
      </w:r>
      <w:r w:rsidR="00F02A40">
        <w:t xml:space="preserve">is expected to be green hydrogen, well above the forecast national average of 20%. </w:t>
      </w:r>
    </w:p>
    <w:p w14:paraId="6B4CB0CF" w14:textId="77777777" w:rsidR="00435E5E" w:rsidRDefault="00287525" w:rsidP="00435E5E">
      <w:pPr>
        <w:pStyle w:val="Heading2"/>
      </w:pPr>
      <w:bookmarkStart w:id="8" w:name="_Toc135938258"/>
      <w:r>
        <w:t xml:space="preserve">3.3 Plans and strategies relating to </w:t>
      </w:r>
      <w:r w:rsidR="00435E5E">
        <w:t>clean energy generation technologies</w:t>
      </w:r>
      <w:bookmarkEnd w:id="8"/>
    </w:p>
    <w:p w14:paraId="2AD6D99C" w14:textId="77777777" w:rsidR="005A0D39" w:rsidRDefault="00460FB4" w:rsidP="00435E5E">
      <w:r>
        <w:t>Outlined below are</w:t>
      </w:r>
      <w:r w:rsidR="005A0D39">
        <w:t xml:space="preserve"> the main points from existing plans and strategies that relate to aspects of clean energy generation that are within the scope of this report:</w:t>
      </w:r>
    </w:p>
    <w:p w14:paraId="36CA88AD" w14:textId="77777777" w:rsidR="005A0D39" w:rsidRDefault="005A0D39" w:rsidP="005A0D39">
      <w:pPr>
        <w:spacing w:after="0"/>
        <w:rPr>
          <w:b/>
          <w:bCs/>
        </w:rPr>
      </w:pPr>
      <w:r w:rsidRPr="005A0D39">
        <w:rPr>
          <w:b/>
          <w:bCs/>
        </w:rPr>
        <w:t>Hydrogen</w:t>
      </w:r>
    </w:p>
    <w:p w14:paraId="178808C1" w14:textId="68D6B7D3" w:rsidR="00DD2354" w:rsidRDefault="00392AE8" w:rsidP="005B1851">
      <w:pPr>
        <w:tabs>
          <w:tab w:val="num" w:pos="720"/>
        </w:tabs>
      </w:pPr>
      <w:r>
        <w:t xml:space="preserve">Hydrogen </w:t>
      </w:r>
      <w:r w:rsidR="00F10105">
        <w:t>has a key role to play in the drive</w:t>
      </w:r>
      <w:r w:rsidR="007A261E">
        <w:t xml:space="preserve"> to net zero, helping to enable </w:t>
      </w:r>
      <w:r w:rsidR="005335C4">
        <w:t xml:space="preserve">so called ‘hard to reach’ </w:t>
      </w:r>
      <w:r w:rsidR="007A261E">
        <w:t xml:space="preserve">industries such as aviation and transport to </w:t>
      </w:r>
      <w:r w:rsidR="00575B6A">
        <w:t xml:space="preserve">access and use clean power. </w:t>
      </w:r>
      <w:r w:rsidR="00DD2354">
        <w:t xml:space="preserve">Government’s </w:t>
      </w:r>
      <w:r w:rsidR="00DD2354" w:rsidRPr="00DD49BE">
        <w:rPr>
          <w:i/>
          <w:iCs/>
        </w:rPr>
        <w:t>Powering Up Britain</w:t>
      </w:r>
      <w:r w:rsidR="00575B6A">
        <w:rPr>
          <w:rStyle w:val="FootnoteReference"/>
        </w:rPr>
        <w:footnoteReference w:id="9"/>
      </w:r>
      <w:r w:rsidR="00DD2354">
        <w:t xml:space="preserve"> energy policy statement outlines ambitions to have 10GW of low carbon hydrogen production capacity by 2030</w:t>
      </w:r>
      <w:r>
        <w:t xml:space="preserve"> and promise</w:t>
      </w:r>
      <w:r w:rsidR="00F41AAB">
        <w:t xml:space="preserve">s new legislation to help enable hydrogen developments. </w:t>
      </w:r>
    </w:p>
    <w:p w14:paraId="349BE2B2" w14:textId="0DB08920" w:rsidR="00264D7C" w:rsidRDefault="00FC24A3" w:rsidP="000A255D">
      <w:r>
        <w:t>A</w:t>
      </w:r>
      <w:r w:rsidR="00116CEC">
        <w:t xml:space="preserve"> </w:t>
      </w:r>
      <w:r w:rsidR="00C31912">
        <w:t>report</w:t>
      </w:r>
      <w:r>
        <w:t xml:space="preserve"> for Cumbria LEP published </w:t>
      </w:r>
      <w:r w:rsidR="00C31912">
        <w:t>in 2021</w:t>
      </w:r>
      <w:r w:rsidR="007D46CB">
        <w:t xml:space="preserve"> – </w:t>
      </w:r>
      <w:r w:rsidR="007D46CB" w:rsidRPr="007D46CB">
        <w:rPr>
          <w:i/>
          <w:iCs/>
        </w:rPr>
        <w:t>Hydrogen in Cumbria: A Vision for the Future</w:t>
      </w:r>
      <w:r w:rsidR="007D46CB">
        <w:t xml:space="preserve"> </w:t>
      </w:r>
      <w:r>
        <w:t>–</w:t>
      </w:r>
      <w:r w:rsidR="00116CEC">
        <w:t xml:space="preserve"> </w:t>
      </w:r>
      <w:r>
        <w:t xml:space="preserve">contends that </w:t>
      </w:r>
      <w:r w:rsidR="00C31912">
        <w:t xml:space="preserve">Cumbria has the potential to become </w:t>
      </w:r>
      <w:r>
        <w:t>“</w:t>
      </w:r>
      <w:r w:rsidR="00C31912">
        <w:t>a strategically vital hydrogen producer and supplier for the whole of the UK, as well as a permanent CO2 storage location</w:t>
      </w:r>
      <w:r>
        <w:t>”</w:t>
      </w:r>
      <w:r w:rsidR="00C31912">
        <w:t>.</w:t>
      </w:r>
      <w:r w:rsidR="002A0F55">
        <w:t xml:space="preserve"> It highlights</w:t>
      </w:r>
      <w:r w:rsidR="00DF166B">
        <w:t xml:space="preserve"> how Cumbria’s location on the Irish Sea coast offers an opportunity to develop </w:t>
      </w:r>
      <w:r w:rsidR="00FB4311">
        <w:t xml:space="preserve">blue hydrogen </w:t>
      </w:r>
      <w:r w:rsidR="00CA32BF">
        <w:t xml:space="preserve">at scale </w:t>
      </w:r>
      <w:r w:rsidR="00FB4311">
        <w:t>(with carbon capture</w:t>
      </w:r>
      <w:r w:rsidR="00FE2C04">
        <w:t xml:space="preserve"> storage in the Morecambe Bay gas fields</w:t>
      </w:r>
      <w:r w:rsidR="00FB4311">
        <w:t xml:space="preserve">) and green hydrogen from renewables. </w:t>
      </w:r>
      <w:r w:rsidR="008C43AF">
        <w:t xml:space="preserve">It suggests that </w:t>
      </w:r>
      <w:r w:rsidR="000A255D">
        <w:t xml:space="preserve">hydrogen production will be limited to blue hydrogen in Barrow to meet local industrial need </w:t>
      </w:r>
      <w:r w:rsidR="008C43AF">
        <w:t>between 2025 and 2035</w:t>
      </w:r>
      <w:r w:rsidR="002907DC">
        <w:t xml:space="preserve">. Some transport of hydrogen north from Barrow to </w:t>
      </w:r>
      <w:r w:rsidR="004C377D">
        <w:t>Sellafield is also possible on this timescale, as is some C</w:t>
      </w:r>
      <w:r w:rsidR="00F64214">
        <w:t>O</w:t>
      </w:r>
      <w:r w:rsidR="004C377D">
        <w:t xml:space="preserve">2 </w:t>
      </w:r>
      <w:r w:rsidR="00F64214">
        <w:t xml:space="preserve">storage in Morecambe </w:t>
      </w:r>
      <w:r w:rsidR="00F840BF">
        <w:t>B</w:t>
      </w:r>
      <w:r w:rsidR="00F64214">
        <w:t xml:space="preserve">ay arising from the Barrow </w:t>
      </w:r>
      <w:r w:rsidR="00E35236">
        <w:t xml:space="preserve">hydrogen production. A significant acceleration of activity is forecast in 2035-45, including the production of some green hydrogen along the Cumbrian coast </w:t>
      </w:r>
      <w:r w:rsidR="006959F1">
        <w:t>and</w:t>
      </w:r>
      <w:r w:rsidR="008631A6">
        <w:t xml:space="preserve"> a new hydrogen transport network</w:t>
      </w:r>
      <w:r w:rsidR="00696875">
        <w:t xml:space="preserve"> heading south </w:t>
      </w:r>
      <w:r w:rsidR="008631A6">
        <w:t xml:space="preserve">into the national </w:t>
      </w:r>
      <w:r w:rsidR="00696875">
        <w:t>transmission system.</w:t>
      </w:r>
      <w:r w:rsidR="00ED6B39">
        <w:t xml:space="preserve"> Limited use of offshore wind energy and solar will assist green hydrogen production. </w:t>
      </w:r>
      <w:r w:rsidR="00C737A1">
        <w:t xml:space="preserve">By 2050, hydrogen storage in offshore and onshore salt caverns is forecast, </w:t>
      </w:r>
      <w:r w:rsidR="00EF6AA5">
        <w:t>with production now dominated by green hydrogen generated via green and nuclear energy (the latter via Moorside</w:t>
      </w:r>
      <w:r w:rsidR="00264D7C">
        <w:t xml:space="preserve">, the former via dedicated renewable capacity). </w:t>
      </w:r>
    </w:p>
    <w:p w14:paraId="3B967877" w14:textId="06652D52" w:rsidR="00D5589D" w:rsidRDefault="00402E48" w:rsidP="00CF4520">
      <w:pPr>
        <w:tabs>
          <w:tab w:val="num" w:pos="720"/>
        </w:tabs>
      </w:pPr>
      <w:r>
        <w:t xml:space="preserve">Utility networks have also put forward proposals for an expansion of hydrogen. </w:t>
      </w:r>
      <w:r w:rsidR="00D5589D" w:rsidRPr="00D5589D">
        <w:rPr>
          <w:i/>
          <w:iCs/>
        </w:rPr>
        <w:t>A hydrogen vision for the UK</w:t>
      </w:r>
      <w:r w:rsidR="00332598">
        <w:rPr>
          <w:rStyle w:val="FootnoteReference"/>
          <w:i/>
          <w:iCs/>
        </w:rPr>
        <w:footnoteReference w:id="10"/>
      </w:r>
      <w:r w:rsidR="00D5589D" w:rsidRPr="00D5589D">
        <w:rPr>
          <w:i/>
          <w:iCs/>
        </w:rPr>
        <w:t xml:space="preserve"> </w:t>
      </w:r>
      <w:r w:rsidR="00D5589D" w:rsidRPr="00D5589D">
        <w:t>(2023)</w:t>
      </w:r>
      <w:r w:rsidR="00D5589D">
        <w:t xml:space="preserve">, published by </w:t>
      </w:r>
      <w:r w:rsidR="00714881">
        <w:t>the Energy Networks Association, foresee</w:t>
      </w:r>
      <w:r w:rsidR="0069792A">
        <w:t>s</w:t>
      </w:r>
      <w:r w:rsidR="00714881">
        <w:t xml:space="preserve"> that h</w:t>
      </w:r>
      <w:r w:rsidR="00D5589D" w:rsidRPr="00D5589D">
        <w:t xml:space="preserve">ydrogen </w:t>
      </w:r>
      <w:r w:rsidR="00714881">
        <w:t>will</w:t>
      </w:r>
      <w:r w:rsidR="00D5589D" w:rsidRPr="00D5589D">
        <w:t xml:space="preserve"> provide 20-35% of UK energy needs by 2050. </w:t>
      </w:r>
      <w:r w:rsidR="00714881">
        <w:t>It anticipates that g</w:t>
      </w:r>
      <w:r w:rsidR="00D5589D" w:rsidRPr="00D5589D">
        <w:t xml:space="preserve">as networks </w:t>
      </w:r>
      <w:r w:rsidR="00D0067E">
        <w:t>will</w:t>
      </w:r>
      <w:r w:rsidR="00D5589D" w:rsidRPr="00D5589D">
        <w:t xml:space="preserve"> invest £7bn in pipelines and storage by 2030</w:t>
      </w:r>
      <w:r w:rsidR="009F4316">
        <w:t>, including p</w:t>
      </w:r>
      <w:r w:rsidR="00D5589D" w:rsidRPr="00D5589D">
        <w:t xml:space="preserve">otential for new and repurposed local transmission pipes </w:t>
      </w:r>
      <w:r w:rsidR="009F4316">
        <w:t xml:space="preserve">in </w:t>
      </w:r>
      <w:r w:rsidR="00D5589D" w:rsidRPr="00D5589D">
        <w:t xml:space="preserve">South Cumbria/Furness </w:t>
      </w:r>
      <w:r w:rsidR="009F4316">
        <w:t xml:space="preserve">by </w:t>
      </w:r>
      <w:r w:rsidR="00D5589D" w:rsidRPr="00D5589D">
        <w:t xml:space="preserve">2030, </w:t>
      </w:r>
      <w:r w:rsidR="009F4316">
        <w:t xml:space="preserve">reaching </w:t>
      </w:r>
      <w:r w:rsidR="00D5589D" w:rsidRPr="00D5589D">
        <w:t xml:space="preserve">NW Cumbria in 2040. </w:t>
      </w:r>
      <w:r w:rsidR="009F4316">
        <w:t xml:space="preserve">It anticipates hydrogen storage in </w:t>
      </w:r>
      <w:r w:rsidR="00D5589D" w:rsidRPr="00D5589D">
        <w:t>Morecambe Bay 2040</w:t>
      </w:r>
      <w:r w:rsidR="009F4316">
        <w:t>, with blue h</w:t>
      </w:r>
      <w:r w:rsidR="00D5589D" w:rsidRPr="00D5589D">
        <w:t>ydrogen production (</w:t>
      </w:r>
      <w:r w:rsidR="009F4316">
        <w:t>via carbon capture and storage</w:t>
      </w:r>
      <w:r w:rsidR="00D5589D" w:rsidRPr="00D5589D">
        <w:t xml:space="preserve">) in Cumbria </w:t>
      </w:r>
      <w:r w:rsidR="009F4316">
        <w:t>by 2035</w:t>
      </w:r>
      <w:r w:rsidR="00365D79">
        <w:t xml:space="preserve">. </w:t>
      </w:r>
      <w:r w:rsidR="00CF4520">
        <w:t xml:space="preserve">This report followed the </w:t>
      </w:r>
      <w:r w:rsidR="00D5589D" w:rsidRPr="00D5589D">
        <w:rPr>
          <w:i/>
          <w:iCs/>
        </w:rPr>
        <w:t xml:space="preserve">Hydrogen 10 </w:t>
      </w:r>
      <w:r w:rsidR="00CF4520" w:rsidRPr="00AE4512">
        <w:rPr>
          <w:i/>
          <w:iCs/>
        </w:rPr>
        <w:t>P</w:t>
      </w:r>
      <w:r w:rsidR="00D5589D" w:rsidRPr="00D5589D">
        <w:rPr>
          <w:i/>
          <w:iCs/>
        </w:rPr>
        <w:t xml:space="preserve">oint </w:t>
      </w:r>
      <w:r w:rsidR="00CF4520" w:rsidRPr="00AE4512">
        <w:rPr>
          <w:i/>
          <w:iCs/>
        </w:rPr>
        <w:t>P</w:t>
      </w:r>
      <w:r w:rsidR="00D5589D" w:rsidRPr="00D5589D">
        <w:rPr>
          <w:i/>
          <w:iCs/>
        </w:rPr>
        <w:t>lan</w:t>
      </w:r>
      <w:r w:rsidR="00D5589D" w:rsidRPr="00D5589D">
        <w:t xml:space="preserve"> (2022)</w:t>
      </w:r>
      <w:r w:rsidR="00CF4520">
        <w:t xml:space="preserve"> from Cadent</w:t>
      </w:r>
      <w:r w:rsidR="00AE4512">
        <w:rPr>
          <w:rStyle w:val="FootnoteReference"/>
        </w:rPr>
        <w:footnoteReference w:id="11"/>
      </w:r>
      <w:r w:rsidR="00CF4520">
        <w:t xml:space="preserve">, </w:t>
      </w:r>
      <w:r w:rsidR="00415358">
        <w:t>which anticipates the first hydrogen pipeline in NW England (unclear where) by 2027, scaling to 5GW of distribution by 2030. Notably, Cadent</w:t>
      </w:r>
      <w:r w:rsidR="00521E48">
        <w:t xml:space="preserve"> is creating </w:t>
      </w:r>
      <w:r w:rsidR="00415358">
        <w:t>a Hydrogen Skills Academy in 2024 with the University of Chester and the Institute of Gas Engineers</w:t>
      </w:r>
      <w:r w:rsidR="00521E48">
        <w:t xml:space="preserve">. </w:t>
      </w:r>
      <w:r w:rsidR="00A46F6E">
        <w:t>A</w:t>
      </w:r>
      <w:r w:rsidR="00415358">
        <w:t xml:space="preserve">ttempts </w:t>
      </w:r>
      <w:r w:rsidR="00A46F6E">
        <w:t xml:space="preserve">by the project team </w:t>
      </w:r>
      <w:r w:rsidR="00415358">
        <w:t xml:space="preserve">to contact the University of Chester to discuss this development </w:t>
      </w:r>
      <w:r w:rsidR="00BE1919">
        <w:t xml:space="preserve">have been unsuccessful at the time of writing. </w:t>
      </w:r>
    </w:p>
    <w:p w14:paraId="34AF7E3B" w14:textId="7D641495" w:rsidR="00BE1919" w:rsidRPr="00205140" w:rsidRDefault="00BE1919" w:rsidP="00205140">
      <w:pPr>
        <w:tabs>
          <w:tab w:val="num" w:pos="720"/>
        </w:tabs>
        <w:spacing w:after="0"/>
        <w:rPr>
          <w:b/>
          <w:bCs/>
        </w:rPr>
      </w:pPr>
      <w:r w:rsidRPr="00205140">
        <w:rPr>
          <w:b/>
          <w:bCs/>
        </w:rPr>
        <w:t>Carbon Capture</w:t>
      </w:r>
      <w:r w:rsidR="00205140" w:rsidRPr="00205140">
        <w:rPr>
          <w:b/>
          <w:bCs/>
        </w:rPr>
        <w:t xml:space="preserve">, </w:t>
      </w:r>
      <w:r w:rsidR="00503081">
        <w:rPr>
          <w:b/>
          <w:bCs/>
        </w:rPr>
        <w:t>Usage</w:t>
      </w:r>
      <w:r w:rsidR="00205140" w:rsidRPr="00205140">
        <w:rPr>
          <w:b/>
          <w:bCs/>
        </w:rPr>
        <w:t xml:space="preserve"> and Storage</w:t>
      </w:r>
      <w:r w:rsidR="003619DE">
        <w:rPr>
          <w:b/>
          <w:bCs/>
        </w:rPr>
        <w:t xml:space="preserve"> (CCUS)</w:t>
      </w:r>
    </w:p>
    <w:p w14:paraId="3C7A7036" w14:textId="08F74E4E" w:rsidR="00EE5E7D" w:rsidRDefault="00503081" w:rsidP="00CF4520">
      <w:pPr>
        <w:tabs>
          <w:tab w:val="num" w:pos="720"/>
        </w:tabs>
      </w:pPr>
      <w:r>
        <w:t xml:space="preserve">CCUS is touted as playing a pivotal role in the UK meeting its 2050 net zero targets. </w:t>
      </w:r>
      <w:r w:rsidR="00FD4073">
        <w:t xml:space="preserve">The publication </w:t>
      </w:r>
      <w:r w:rsidR="009E597F">
        <w:t xml:space="preserve">by the UK Government </w:t>
      </w:r>
      <w:r w:rsidR="00FD4073">
        <w:t xml:space="preserve">in April 2023 of </w:t>
      </w:r>
      <w:r w:rsidR="00FD4073" w:rsidRPr="009239CC">
        <w:rPr>
          <w:i/>
          <w:iCs/>
        </w:rPr>
        <w:t>the CCUS Net Zero Investment Roadmap</w:t>
      </w:r>
      <w:r w:rsidR="009239CC">
        <w:rPr>
          <w:rStyle w:val="FootnoteReference"/>
          <w:i/>
          <w:iCs/>
        </w:rPr>
        <w:footnoteReference w:id="12"/>
      </w:r>
      <w:r w:rsidR="007E6C93">
        <w:t xml:space="preserve">, </w:t>
      </w:r>
      <w:r w:rsidR="005A160A">
        <w:t>explains how the industry will develop in the UK</w:t>
      </w:r>
      <w:r w:rsidR="0006363B">
        <w:t xml:space="preserve"> supported by £20bn of Government investment</w:t>
      </w:r>
      <w:r w:rsidR="005A160A">
        <w:t xml:space="preserve">, starting with four </w:t>
      </w:r>
      <w:r w:rsidR="00CA4007">
        <w:t xml:space="preserve">low carbon industrial clusters which are anticipated to come on stream by 2030. </w:t>
      </w:r>
      <w:r w:rsidR="00C65E0A">
        <w:t xml:space="preserve">Two of these </w:t>
      </w:r>
      <w:r w:rsidR="0072759B">
        <w:t xml:space="preserve">‘track one’ </w:t>
      </w:r>
      <w:r w:rsidR="00C65E0A">
        <w:t xml:space="preserve">clusters – in Teesside and </w:t>
      </w:r>
      <w:r w:rsidR="00EC1FBA">
        <w:t>North Wales/</w:t>
      </w:r>
      <w:r w:rsidR="00C65E0A">
        <w:t>Cheshire</w:t>
      </w:r>
      <w:r w:rsidR="008B62B5">
        <w:t xml:space="preserve">/Derbyshire – </w:t>
      </w:r>
      <w:r w:rsidR="00982B23">
        <w:t>have been selected</w:t>
      </w:r>
      <w:r w:rsidR="008B62B5">
        <w:t xml:space="preserve">, with </w:t>
      </w:r>
      <w:r w:rsidR="00C11AE9">
        <w:t>plans to identify</w:t>
      </w:r>
      <w:r w:rsidR="008B62B5">
        <w:t xml:space="preserve"> two more clusters later this year. </w:t>
      </w:r>
      <w:r w:rsidR="00EC1FBA">
        <w:t xml:space="preserve">Plans for a CCUS </w:t>
      </w:r>
      <w:r w:rsidR="00A80A54">
        <w:t>project led by Spirit Energy in Barrow, converting the existing gas terminal</w:t>
      </w:r>
      <w:r w:rsidR="00982B23">
        <w:t xml:space="preserve"> and </w:t>
      </w:r>
      <w:r w:rsidR="00427BD0">
        <w:t>using the depleted South Morecambe and North Morecambe gas fields as storage</w:t>
      </w:r>
      <w:r w:rsidR="00414733">
        <w:t xml:space="preserve">, </w:t>
      </w:r>
      <w:r w:rsidR="00594963">
        <w:t xml:space="preserve">are also moving forward. It recently submitted a bid to join </w:t>
      </w:r>
      <w:r w:rsidR="00FF6362">
        <w:t xml:space="preserve">the list of ‘track two’ </w:t>
      </w:r>
      <w:r w:rsidR="00405004">
        <w:t xml:space="preserve">of the UK Government’s cluster sequencing </w:t>
      </w:r>
      <w:r w:rsidR="00C03F97">
        <w:t xml:space="preserve">process </w:t>
      </w:r>
      <w:r w:rsidR="00FF6362">
        <w:t>(as part of the Morecambe Net Zero cluster), with</w:t>
      </w:r>
      <w:r w:rsidR="00FB44EC">
        <w:t xml:space="preserve"> negotiations and construction scheduled to take place up to 2030. </w:t>
      </w:r>
      <w:r w:rsidR="00C03F97">
        <w:t xml:space="preserve">Plans to repurpose Morecambe Bay gas field for carbon storage have also now been </w:t>
      </w:r>
      <w:r w:rsidR="005C2A40">
        <w:t>licensed by the North Sea Transition Authority</w:t>
      </w:r>
      <w:r w:rsidR="001C1BAB">
        <w:t xml:space="preserve">, clearing a key regulatory hurdle. </w:t>
      </w:r>
    </w:p>
    <w:p w14:paraId="336610EE" w14:textId="719EAD89" w:rsidR="00D762A7" w:rsidRDefault="00EE5E7D" w:rsidP="00CF4520">
      <w:pPr>
        <w:tabs>
          <w:tab w:val="num" w:pos="720"/>
        </w:tabs>
      </w:pPr>
      <w:r>
        <w:t xml:space="preserve">The </w:t>
      </w:r>
      <w:r w:rsidR="00C11AE9">
        <w:t>CCUS Net Zero Roadmap</w:t>
      </w:r>
      <w:r>
        <w:t xml:space="preserve"> includes commentary on skills, much of which relates to existing policy (such as the expansion of Institutes of Technology, </w:t>
      </w:r>
      <w:r w:rsidR="007951DF">
        <w:t>Local Skills Improvement Plans, T Levels, apprenticeships, etc.). It also flags Government’s Green Jobs Delivery Group</w:t>
      </w:r>
      <w:r w:rsidR="001919FC">
        <w:rPr>
          <w:rStyle w:val="FootnoteReference"/>
        </w:rPr>
        <w:footnoteReference w:id="13"/>
      </w:r>
      <w:r w:rsidR="00F877D1">
        <w:t xml:space="preserve"> which was launched in May 2022 but appears to have </w:t>
      </w:r>
      <w:r w:rsidR="00C52565">
        <w:t>published</w:t>
      </w:r>
      <w:r w:rsidR="00F877D1">
        <w:t xml:space="preserve"> no updates since. </w:t>
      </w:r>
      <w:r w:rsidR="00C52565">
        <w:t xml:space="preserve">The roadmap also highlights the importance of the </w:t>
      </w:r>
      <w:r w:rsidR="00C52565" w:rsidRPr="00B8083C">
        <w:rPr>
          <w:i/>
          <w:iCs/>
        </w:rPr>
        <w:t>North Sea Transition Deal</w:t>
      </w:r>
      <w:r w:rsidR="00D762A7">
        <w:rPr>
          <w:rStyle w:val="FootnoteReference"/>
        </w:rPr>
        <w:footnoteReference w:id="14"/>
      </w:r>
      <w:r w:rsidR="00C52565">
        <w:t xml:space="preserve"> which </w:t>
      </w:r>
      <w:r w:rsidR="00D762A7">
        <w:t>has an Integrated Skills and People Plan</w:t>
      </w:r>
      <w:r w:rsidR="00B1507B">
        <w:rPr>
          <w:rStyle w:val="FootnoteReference"/>
        </w:rPr>
        <w:footnoteReference w:id="15"/>
      </w:r>
      <w:r w:rsidR="00DF1739">
        <w:t xml:space="preserve"> first published in 2022. This document provides </w:t>
      </w:r>
      <w:r w:rsidR="0099360A">
        <w:t xml:space="preserve">estimates of the scale of the workforce required to operate </w:t>
      </w:r>
      <w:r w:rsidR="00947274">
        <w:t>UK</w:t>
      </w:r>
      <w:r w:rsidR="0099360A">
        <w:t xml:space="preserve"> offshore energy technologies</w:t>
      </w:r>
      <w:r w:rsidR="00947274">
        <w:t xml:space="preserve"> now and in 2030</w:t>
      </w:r>
      <w:r w:rsidR="00D762A7">
        <w:t>.</w:t>
      </w:r>
      <w:r w:rsidR="001F23ED">
        <w:t xml:space="preserve"> Overall, it </w:t>
      </w:r>
      <w:r w:rsidR="00941B43">
        <w:t>estimates</w:t>
      </w:r>
      <w:r w:rsidR="001F23ED">
        <w:t xml:space="preserve"> that the offshore workforce will grow from around 154,000 in 2022 to 211,250 by 2030</w:t>
      </w:r>
      <w:r w:rsidR="00766156">
        <w:t xml:space="preserve"> and on to 350,500 by 2050. Expansion between now and 2030 will be driven by </w:t>
      </w:r>
      <w:r w:rsidR="001A4683">
        <w:t xml:space="preserve">a significant expansion in the offshore wind sector </w:t>
      </w:r>
      <w:r w:rsidR="00816DCC">
        <w:t xml:space="preserve">(which will grow by around 65,000 jobs </w:t>
      </w:r>
      <w:r w:rsidR="00766156">
        <w:t>by 2030</w:t>
      </w:r>
      <w:r w:rsidR="00816DCC">
        <w:t xml:space="preserve">). Other </w:t>
      </w:r>
      <w:r w:rsidR="00941B43">
        <w:t>estimates</w:t>
      </w:r>
      <w:r w:rsidR="00816DCC">
        <w:t xml:space="preserve"> include:</w:t>
      </w:r>
    </w:p>
    <w:p w14:paraId="7654D82A" w14:textId="6E7A9980" w:rsidR="00816DCC" w:rsidRDefault="00734F45" w:rsidP="00D37CC5">
      <w:pPr>
        <w:pStyle w:val="ListParagraph"/>
        <w:numPr>
          <w:ilvl w:val="0"/>
          <w:numId w:val="8"/>
        </w:numPr>
        <w:tabs>
          <w:tab w:val="num" w:pos="720"/>
        </w:tabs>
      </w:pPr>
      <w:r>
        <w:t>An increase in the offshore electrification workforce from around 500 to 5000 by 2030</w:t>
      </w:r>
    </w:p>
    <w:p w14:paraId="22937CC8" w14:textId="63F416A1" w:rsidR="00734F45" w:rsidRDefault="00734F45" w:rsidP="00D37CC5">
      <w:pPr>
        <w:pStyle w:val="ListParagraph"/>
        <w:numPr>
          <w:ilvl w:val="0"/>
          <w:numId w:val="8"/>
        </w:numPr>
        <w:tabs>
          <w:tab w:val="num" w:pos="720"/>
        </w:tabs>
      </w:pPr>
      <w:r>
        <w:t>Growth in the hydrogen workforce</w:t>
      </w:r>
      <w:r w:rsidR="00C344A9">
        <w:t xml:space="preserve"> from 1200-2500 to between 13,500 and 29,250 by 2030</w:t>
      </w:r>
    </w:p>
    <w:p w14:paraId="034395A5" w14:textId="7A7CE78B" w:rsidR="00C344A9" w:rsidRDefault="00C344A9" w:rsidP="00D37CC5">
      <w:pPr>
        <w:pStyle w:val="ListParagraph"/>
        <w:numPr>
          <w:ilvl w:val="0"/>
          <w:numId w:val="8"/>
        </w:numPr>
        <w:tabs>
          <w:tab w:val="num" w:pos="720"/>
        </w:tabs>
      </w:pPr>
      <w:r>
        <w:t xml:space="preserve">Expansion in CCUS </w:t>
      </w:r>
      <w:r w:rsidR="00C73947">
        <w:t xml:space="preserve">jobs from 700-1000 now to 5,550 to 10,000 by 2030. </w:t>
      </w:r>
    </w:p>
    <w:p w14:paraId="34F0E585" w14:textId="7D6FF3C9" w:rsidR="00C73947" w:rsidRDefault="00C52133" w:rsidP="00C73947">
      <w:pPr>
        <w:tabs>
          <w:tab w:val="num" w:pos="720"/>
        </w:tabs>
      </w:pPr>
      <w:r>
        <w:t>These forecasts include the skills required across all business area</w:t>
      </w:r>
      <w:r w:rsidR="004F5EE1">
        <w:t>s (incorporating back office</w:t>
      </w:r>
      <w:r w:rsidR="00147B32">
        <w:t xml:space="preserve"> and </w:t>
      </w:r>
      <w:r w:rsidR="004F5EE1">
        <w:t xml:space="preserve">professional roles), and the roles will be located onshore and offshore. </w:t>
      </w:r>
      <w:r w:rsidR="00C73947">
        <w:t xml:space="preserve">A variety of sources are used to </w:t>
      </w:r>
      <w:r w:rsidR="00E24BF9">
        <w:t>piece together these estimates</w:t>
      </w:r>
      <w:r w:rsidR="004F5EE1">
        <w:t xml:space="preserve">. The wide variations in estimates </w:t>
      </w:r>
      <w:r w:rsidR="007F3B73">
        <w:t>indicate</w:t>
      </w:r>
      <w:r w:rsidR="004F5EE1">
        <w:t xml:space="preserve"> just how difficult it is to provide a </w:t>
      </w:r>
      <w:r w:rsidR="00147B32">
        <w:t>reliable forecast</w:t>
      </w:r>
      <w:r w:rsidR="004F5EE1">
        <w:t xml:space="preserve"> of </w:t>
      </w:r>
      <w:r w:rsidR="007F3B73">
        <w:t xml:space="preserve">the scale of the workforce required </w:t>
      </w:r>
      <w:r w:rsidR="004F5EE1">
        <w:t xml:space="preserve">by </w:t>
      </w:r>
      <w:r w:rsidR="00941B43">
        <w:t xml:space="preserve">clean energy sector owing to significant uncertainty about the </w:t>
      </w:r>
      <w:r w:rsidR="007F3B73">
        <w:t>size</w:t>
      </w:r>
      <w:r w:rsidR="00941B43">
        <w:t xml:space="preserve"> and timing of key developments. </w:t>
      </w:r>
    </w:p>
    <w:p w14:paraId="0B4CAFF9" w14:textId="7B79F63A" w:rsidR="008541E6" w:rsidRPr="008541E6" w:rsidRDefault="008541E6" w:rsidP="008F4BE7">
      <w:pPr>
        <w:tabs>
          <w:tab w:val="num" w:pos="720"/>
        </w:tabs>
        <w:spacing w:after="0"/>
        <w:rPr>
          <w:b/>
          <w:bCs/>
        </w:rPr>
      </w:pPr>
      <w:r w:rsidRPr="008541E6">
        <w:rPr>
          <w:b/>
          <w:bCs/>
        </w:rPr>
        <w:t>Nuclear</w:t>
      </w:r>
    </w:p>
    <w:p w14:paraId="5243AEB4" w14:textId="4839EE4A" w:rsidR="00D762A7" w:rsidRDefault="00A45D4B" w:rsidP="00CF4520">
      <w:pPr>
        <w:tabs>
          <w:tab w:val="num" w:pos="720"/>
        </w:tabs>
      </w:pPr>
      <w:r>
        <w:t xml:space="preserve">Government’s </w:t>
      </w:r>
      <w:r>
        <w:rPr>
          <w:i/>
          <w:iCs/>
        </w:rPr>
        <w:t xml:space="preserve">Powering Up Britain </w:t>
      </w:r>
      <w:r>
        <w:t>document summarises</w:t>
      </w:r>
      <w:r w:rsidR="00880F78">
        <w:t xml:space="preserve"> </w:t>
      </w:r>
      <w:r w:rsidR="007F3B73">
        <w:t>how nuclear will continue to act</w:t>
      </w:r>
      <w:r w:rsidR="00880F78">
        <w:t xml:space="preserve"> as the ‘critical baseload’ of our country’s future energy system. </w:t>
      </w:r>
      <w:r w:rsidR="00231B57">
        <w:t>It plans to raise nuclear generation to 24GW by 2050</w:t>
      </w:r>
      <w:r w:rsidR="007F3B73">
        <w:t xml:space="preserve"> assisted </w:t>
      </w:r>
      <w:r w:rsidR="00231B57">
        <w:t xml:space="preserve">by Great British Nuclear, which will be responsible for </w:t>
      </w:r>
      <w:r w:rsidR="00957567">
        <w:t xml:space="preserve">driving delivery of new nuclear projects. </w:t>
      </w:r>
      <w:r w:rsidR="00880F78">
        <w:t xml:space="preserve">It reaffirms Government’s commitment to proceeding with Sizewell C </w:t>
      </w:r>
      <w:r w:rsidR="00E17A74">
        <w:t xml:space="preserve">and confirms that Great British Nuclear will launch a competitive programme to ‘select the best SMR [small modular reactor] </w:t>
      </w:r>
      <w:r w:rsidR="00F04745">
        <w:t xml:space="preserve">technologies’, which will conclude in autumn 2023. </w:t>
      </w:r>
    </w:p>
    <w:p w14:paraId="5AA65A76" w14:textId="2B953320" w:rsidR="00957567" w:rsidRDefault="00C36E13" w:rsidP="00CF4520">
      <w:pPr>
        <w:tabs>
          <w:tab w:val="num" w:pos="720"/>
        </w:tabs>
      </w:pPr>
      <w:r>
        <w:t xml:space="preserve">According to </w:t>
      </w:r>
      <w:r w:rsidR="00D9558E">
        <w:t xml:space="preserve">Cumbria LEP’s 2020 </w:t>
      </w:r>
      <w:r w:rsidR="00D9558E" w:rsidRPr="00D9558E">
        <w:rPr>
          <w:i/>
          <w:iCs/>
        </w:rPr>
        <w:t>Nuclear Prospectus</w:t>
      </w:r>
      <w:r w:rsidR="00D9558E" w:rsidRPr="00DA5CCA">
        <w:rPr>
          <w:rStyle w:val="FootnoteReference"/>
        </w:rPr>
        <w:footnoteReference w:id="16"/>
      </w:r>
      <w:r w:rsidR="00FD2C0B">
        <w:t>, t</w:t>
      </w:r>
      <w:r w:rsidR="00194280">
        <w:t xml:space="preserve">he sector </w:t>
      </w:r>
      <w:r w:rsidR="00E11F98">
        <w:t>contributes around £2.5bn of GVA</w:t>
      </w:r>
      <w:r w:rsidR="00E6420C">
        <w:t xml:space="preserve"> locally</w:t>
      </w:r>
      <w:r w:rsidR="00E11F98">
        <w:t xml:space="preserve">, accounting for around 22% of the county’s economic output. </w:t>
      </w:r>
      <w:r>
        <w:t xml:space="preserve">Almost 1 in 3 of the UK’s nuclear workforce is based in Cumbria, </w:t>
      </w:r>
      <w:r w:rsidR="00FD2C0B">
        <w:t xml:space="preserve">where the sector employs </w:t>
      </w:r>
      <w:r>
        <w:t>around 27,000 people.</w:t>
      </w:r>
      <w:r w:rsidR="005F4B58">
        <w:t xml:space="preserve"> </w:t>
      </w:r>
      <w:r w:rsidR="00B5369C">
        <w:t>But a</w:t>
      </w:r>
      <w:r w:rsidR="001A3B8C">
        <w:t xml:space="preserve">t the present time </w:t>
      </w:r>
      <w:r w:rsidR="00B5369C">
        <w:t xml:space="preserve">in Cumbria, </w:t>
      </w:r>
      <w:r w:rsidR="001A3B8C">
        <w:t xml:space="preserve">only the development of </w:t>
      </w:r>
      <w:r w:rsidR="006E7E0B">
        <w:t>twin</w:t>
      </w:r>
      <w:r w:rsidR="001A3B8C">
        <w:t xml:space="preserve"> small modular reactor</w:t>
      </w:r>
      <w:r w:rsidR="006E7E0B">
        <w:t>s</w:t>
      </w:r>
      <w:r w:rsidR="001A3B8C">
        <w:t xml:space="preserve"> (SMR)</w:t>
      </w:r>
      <w:r w:rsidR="001F4C8A">
        <w:t xml:space="preserve"> generating </w:t>
      </w:r>
      <w:r w:rsidR="006E7E0B">
        <w:t>940</w:t>
      </w:r>
      <w:r w:rsidR="001F4C8A">
        <w:t>MW</w:t>
      </w:r>
      <w:r w:rsidR="006E7E0B">
        <w:t xml:space="preserve"> in total</w:t>
      </w:r>
      <w:r w:rsidR="00584457">
        <w:t xml:space="preserve">, led by the Solway Community Power </w:t>
      </w:r>
      <w:r w:rsidR="00D13ADC">
        <w:t>Company in partnership with Rolls Royce</w:t>
      </w:r>
      <w:r w:rsidR="001F4C8A">
        <w:t>, appears on track to proceed</w:t>
      </w:r>
      <w:r w:rsidR="00345F04">
        <w:t xml:space="preserve"> (the project is fully funded</w:t>
      </w:r>
      <w:r w:rsidR="00664FE6">
        <w:t>: £6bn</w:t>
      </w:r>
      <w:r w:rsidR="00345F04">
        <w:t>).</w:t>
      </w:r>
      <w:r w:rsidR="001F4C8A">
        <w:t xml:space="preserve"> </w:t>
      </w:r>
      <w:r w:rsidR="002B598C">
        <w:t xml:space="preserve">Plans to locate a new STEP fusion reactor </w:t>
      </w:r>
      <w:r w:rsidR="00844094">
        <w:t xml:space="preserve">at Moorside suffered a setback when the opportunity for the new </w:t>
      </w:r>
      <w:r w:rsidR="00303A47">
        <w:t>prototype</w:t>
      </w:r>
      <w:r w:rsidR="00421FA2">
        <w:t xml:space="preserve"> plant was awarded to </w:t>
      </w:r>
      <w:r w:rsidR="0082036E">
        <w:t>the West Burton power station site in Nottinghamshire</w:t>
      </w:r>
      <w:r w:rsidR="000F084B">
        <w:t>.</w:t>
      </w:r>
      <w:r w:rsidR="00B5369C">
        <w:t xml:space="preserve"> The Solway Community Power/SMR project now </w:t>
      </w:r>
      <w:r w:rsidR="000B4342">
        <w:t>n</w:t>
      </w:r>
      <w:r w:rsidR="00B5369C">
        <w:t xml:space="preserve">eeds to secure </w:t>
      </w:r>
      <w:r w:rsidR="00A613A4">
        <w:t xml:space="preserve">land (with regulatory licence) before an estimated </w:t>
      </w:r>
      <w:r w:rsidR="00837321">
        <w:t xml:space="preserve">9-11 </w:t>
      </w:r>
      <w:r w:rsidR="00A613A4">
        <w:t xml:space="preserve">year construction phase can begin – meaning the new reactors are unlikely to become operational until </w:t>
      </w:r>
      <w:r w:rsidR="00837321">
        <w:t>the late 2030s</w:t>
      </w:r>
      <w:r w:rsidR="00A613A4">
        <w:t>.</w:t>
      </w:r>
    </w:p>
    <w:p w14:paraId="548C0DA9" w14:textId="77693D11" w:rsidR="0034243B" w:rsidRDefault="0034243B" w:rsidP="0034243B">
      <w:r>
        <w:t xml:space="preserve">While no </w:t>
      </w:r>
      <w:r w:rsidR="00DF17B8">
        <w:t>other</w:t>
      </w:r>
      <w:r>
        <w:t xml:space="preserve"> new nuclear developments are currently confirmed for Cumbria, the county’s nuclear supply chain should </w:t>
      </w:r>
      <w:r w:rsidR="008D5D0B">
        <w:t>see the benefits of a memorandum of understanding (MoU) signed with Sizewell C</w:t>
      </w:r>
      <w:r w:rsidR="004C6018">
        <w:rPr>
          <w:rStyle w:val="FootnoteReference"/>
        </w:rPr>
        <w:footnoteReference w:id="17"/>
      </w:r>
      <w:r w:rsidR="008D5D0B">
        <w:t xml:space="preserve"> that will see around £2.5bn of </w:t>
      </w:r>
      <w:r w:rsidR="00DE4273">
        <w:t xml:space="preserve">supply chain activity come to Northern England, along with </w:t>
      </w:r>
      <w:r w:rsidR="003F6B10">
        <w:t>13,000 jobs</w:t>
      </w:r>
      <w:r w:rsidR="004F5DE1">
        <w:t xml:space="preserve"> over a 15 year period</w:t>
      </w:r>
      <w:r w:rsidR="003F6B10">
        <w:t xml:space="preserve">. The MoU has been agreed with </w:t>
      </w:r>
      <w:r w:rsidR="001B0CA5">
        <w:t xml:space="preserve">a </w:t>
      </w:r>
      <w:r w:rsidRPr="0034243B">
        <w:t xml:space="preserve">Sizewell C consortium </w:t>
      </w:r>
      <w:r w:rsidR="001B0CA5">
        <w:t xml:space="preserve">of over 100 employers and trade unions, and has been countersigned by all of Cumbria’s MPs. </w:t>
      </w:r>
      <w:r w:rsidR="00C01EB5">
        <w:t xml:space="preserve">The MoU pledges Sizewell C employers to work alongside </w:t>
      </w:r>
      <w:r w:rsidR="00096EAF">
        <w:t xml:space="preserve">local colleges and educational institutions to develop talent in the North to enter the nuclear industry. </w:t>
      </w:r>
    </w:p>
    <w:p w14:paraId="0A354087" w14:textId="77777777" w:rsidR="008F3BE5" w:rsidRDefault="00096EAF" w:rsidP="0034243B">
      <w:r>
        <w:t xml:space="preserve">Finally, the </w:t>
      </w:r>
      <w:r w:rsidR="004D5B39">
        <w:t xml:space="preserve">Nuclear Skills Strategy Group, an employer-led nuclear skills body, </w:t>
      </w:r>
      <w:r w:rsidR="00B66674">
        <w:t xml:space="preserve">published in 2020 a </w:t>
      </w:r>
      <w:r w:rsidR="00B66674" w:rsidRPr="00B66674">
        <w:rPr>
          <w:i/>
          <w:iCs/>
        </w:rPr>
        <w:t>Nuclear Skills Strategy Plan</w:t>
      </w:r>
      <w:r w:rsidR="00B66674">
        <w:rPr>
          <w:rStyle w:val="FootnoteReference"/>
          <w:i/>
          <w:iCs/>
        </w:rPr>
        <w:footnoteReference w:id="18"/>
      </w:r>
      <w:r w:rsidR="00C846E0">
        <w:t xml:space="preserve"> focused on</w:t>
      </w:r>
      <w:r w:rsidR="00D867DA">
        <w:t xml:space="preserve"> aspects including</w:t>
      </w:r>
      <w:r w:rsidR="00C846E0">
        <w:t xml:space="preserve"> improving skills leadership in the sector, </w:t>
      </w:r>
      <w:r w:rsidR="00F85F11">
        <w:t xml:space="preserve">strengthening pathways and apprenticeships (including T Levels), </w:t>
      </w:r>
      <w:r w:rsidR="00D867DA">
        <w:t xml:space="preserve">and the engagement of future generations </w:t>
      </w:r>
      <w:r w:rsidR="002B5968">
        <w:t xml:space="preserve">in nuclear careers. </w:t>
      </w:r>
      <w:r w:rsidR="00197592">
        <w:t xml:space="preserve">NSSG’s detailed </w:t>
      </w:r>
      <w:r w:rsidR="00197592" w:rsidRPr="00197592">
        <w:rPr>
          <w:i/>
          <w:iCs/>
        </w:rPr>
        <w:t>Nuclear Workforce Assessment 2021</w:t>
      </w:r>
      <w:r w:rsidR="00197592">
        <w:rPr>
          <w:rStyle w:val="FootnoteReference"/>
        </w:rPr>
        <w:footnoteReference w:id="19"/>
      </w:r>
      <w:r w:rsidR="00197592">
        <w:t xml:space="preserve"> </w:t>
      </w:r>
      <w:r w:rsidR="00F50E7E">
        <w:t>provides a well-developed model for estimating future demand for, and the supply of, nuclear skills</w:t>
      </w:r>
      <w:r w:rsidR="008F3BE5">
        <w:t xml:space="preserve"> – this will be covered in detail in the following section. </w:t>
      </w:r>
    </w:p>
    <w:p w14:paraId="5CA063D9" w14:textId="1FD4C8ED" w:rsidR="00066473" w:rsidRPr="00066473" w:rsidRDefault="00066473" w:rsidP="00066473">
      <w:pPr>
        <w:spacing w:after="0"/>
        <w:rPr>
          <w:b/>
          <w:bCs/>
        </w:rPr>
      </w:pPr>
      <w:r w:rsidRPr="00066473">
        <w:rPr>
          <w:b/>
          <w:bCs/>
        </w:rPr>
        <w:t>Grid networks</w:t>
      </w:r>
    </w:p>
    <w:p w14:paraId="6D049B4A" w14:textId="6FDAAB77" w:rsidR="008F3BE5" w:rsidRDefault="00304806" w:rsidP="0034243B">
      <w:r>
        <w:t xml:space="preserve">A report for Cumbria LEP in </w:t>
      </w:r>
      <w:r w:rsidR="000E5542">
        <w:t xml:space="preserve">2021 highlighted the risk to clean energy growth posed by the </w:t>
      </w:r>
      <w:r w:rsidR="000017D3">
        <w:t>capacity</w:t>
      </w:r>
      <w:r w:rsidR="000E5542">
        <w:t xml:space="preserve"> of the existing electrical grid. </w:t>
      </w:r>
      <w:r w:rsidR="00A3320A">
        <w:t>Evaluations undertaken in 2015</w:t>
      </w:r>
      <w:r w:rsidR="004864C6">
        <w:t>,</w:t>
      </w:r>
      <w:r w:rsidR="00A3320A">
        <w:t xml:space="preserve"> when plans for </w:t>
      </w:r>
      <w:r w:rsidR="004864C6">
        <w:t>a large</w:t>
      </w:r>
      <w:r w:rsidR="00A3320A">
        <w:t xml:space="preserve"> new power station at Moorside were still in development</w:t>
      </w:r>
      <w:r w:rsidR="004864C6">
        <w:t>,</w:t>
      </w:r>
      <w:r w:rsidR="00A3320A">
        <w:t xml:space="preserve"> highlighted a necessary upgrade cost of between £1bn and £5bn, taking up to 10 years to complete. </w:t>
      </w:r>
      <w:r w:rsidR="00A2321D">
        <w:t>For context, the</w:t>
      </w:r>
      <w:r w:rsidR="00E0614F">
        <w:t xml:space="preserve"> potential new clean energy projects in Cumbria </w:t>
      </w:r>
      <w:r w:rsidR="00A963B0">
        <w:t>could generate significant new capacity requirements for the grid, as follows:</w:t>
      </w:r>
    </w:p>
    <w:p w14:paraId="3C71AEEB" w14:textId="23192BF8" w:rsidR="00A963B0" w:rsidRDefault="00A963B0" w:rsidP="00D37CC5">
      <w:pPr>
        <w:pStyle w:val="ListParagraph"/>
        <w:numPr>
          <w:ilvl w:val="0"/>
          <w:numId w:val="10"/>
        </w:numPr>
      </w:pPr>
      <w:r>
        <w:t>New large nuclear: 3200 MW</w:t>
      </w:r>
    </w:p>
    <w:p w14:paraId="66257564" w14:textId="407F76E3" w:rsidR="00A963B0" w:rsidRDefault="00A963B0" w:rsidP="00D37CC5">
      <w:pPr>
        <w:pStyle w:val="ListParagraph"/>
        <w:numPr>
          <w:ilvl w:val="0"/>
          <w:numId w:val="10"/>
        </w:numPr>
      </w:pPr>
      <w:r>
        <w:t>New offshore wind: up to 3500 MW</w:t>
      </w:r>
    </w:p>
    <w:p w14:paraId="1E475F6B" w14:textId="35EC1216" w:rsidR="00A963B0" w:rsidRDefault="00A963B0" w:rsidP="00D37CC5">
      <w:pPr>
        <w:pStyle w:val="ListParagraph"/>
        <w:numPr>
          <w:ilvl w:val="0"/>
          <w:numId w:val="10"/>
        </w:numPr>
      </w:pPr>
      <w:r>
        <w:t>STEP reactor: 400 MW</w:t>
      </w:r>
    </w:p>
    <w:p w14:paraId="619CC206" w14:textId="4E3D3281" w:rsidR="00A963B0" w:rsidRDefault="00A963B0" w:rsidP="00D37CC5">
      <w:pPr>
        <w:pStyle w:val="ListParagraph"/>
        <w:numPr>
          <w:ilvl w:val="0"/>
          <w:numId w:val="10"/>
        </w:numPr>
      </w:pPr>
      <w:r>
        <w:t>Small modular reactor: 4</w:t>
      </w:r>
      <w:r w:rsidR="00864B54">
        <w:t>7</w:t>
      </w:r>
      <w:r>
        <w:t>0 MW per unit</w:t>
      </w:r>
    </w:p>
    <w:p w14:paraId="50F60066" w14:textId="4E1C63FA" w:rsidR="00577696" w:rsidRDefault="00C8790B" w:rsidP="00F60755">
      <w:r>
        <w:t>The report states that the current grid capacity can only support the equivalent of a single SMR (470MW per unit)</w:t>
      </w:r>
      <w:r w:rsidR="000139EB">
        <w:t xml:space="preserve">; however </w:t>
      </w:r>
      <w:r w:rsidR="00F60755">
        <w:t xml:space="preserve">feedback gathered via this project indicates that </w:t>
      </w:r>
      <w:r w:rsidR="00891B38">
        <w:t>plans to retain much of the energy generated by Cumbria’s twin SMRs within the county mean that in effect the existing grid (supported by a few smaller-scale upgrades) will be adequate to support t</w:t>
      </w:r>
      <w:r w:rsidR="00F60755">
        <w:t>he Solway Community Power Company development</w:t>
      </w:r>
      <w:r w:rsidR="00A73928">
        <w:t>, which is set to generate 940MW via twin SMR units</w:t>
      </w:r>
      <w:r w:rsidR="00F60755">
        <w:t>.</w:t>
      </w:r>
    </w:p>
    <w:p w14:paraId="396BDE17" w14:textId="343462DA" w:rsidR="00D87AF2" w:rsidRPr="00D87AF2" w:rsidRDefault="00D87AF2" w:rsidP="00683917">
      <w:pPr>
        <w:pStyle w:val="Heading2"/>
      </w:pPr>
      <w:bookmarkStart w:id="9" w:name="_Toc135938259"/>
      <w:r>
        <w:t xml:space="preserve">3.4 </w:t>
      </w:r>
      <w:r w:rsidRPr="00D87AF2">
        <w:t>Summary: Literature review</w:t>
      </w:r>
      <w:bookmarkEnd w:id="9"/>
    </w:p>
    <w:p w14:paraId="0FC40770" w14:textId="6CB03C6C" w:rsidR="00683917" w:rsidRDefault="00683917" w:rsidP="0034243B">
      <w:r>
        <w:t>Based on the above, we can summarise that:</w:t>
      </w:r>
    </w:p>
    <w:p w14:paraId="7DC4C73B" w14:textId="4760FF1E" w:rsidR="00683917" w:rsidRDefault="00683917" w:rsidP="00D37CC5">
      <w:pPr>
        <w:pStyle w:val="ListParagraph"/>
        <w:numPr>
          <w:ilvl w:val="0"/>
          <w:numId w:val="11"/>
        </w:numPr>
      </w:pPr>
      <w:r>
        <w:t>There is a high level of ambition both locally and within Government to grow clean energy generation and use</w:t>
      </w:r>
      <w:r w:rsidR="00CD12EC">
        <w:t>.</w:t>
      </w:r>
    </w:p>
    <w:p w14:paraId="0320FCAF" w14:textId="42D48E2C" w:rsidR="00860049" w:rsidRDefault="00860049" w:rsidP="00D37CC5">
      <w:pPr>
        <w:pStyle w:val="ListParagraph"/>
        <w:numPr>
          <w:ilvl w:val="0"/>
          <w:numId w:val="11"/>
        </w:numPr>
      </w:pPr>
      <w:r>
        <w:t xml:space="preserve">There is a very high level of uncertainty about the scale and nature of clean energy growth nationally and, to a large extent, within Cumbria itself. </w:t>
      </w:r>
    </w:p>
    <w:p w14:paraId="6B505A92" w14:textId="2FC71297" w:rsidR="00CD12EC" w:rsidRDefault="00CD12EC" w:rsidP="00D37CC5">
      <w:pPr>
        <w:pStyle w:val="ListParagraph"/>
        <w:numPr>
          <w:ilvl w:val="0"/>
          <w:numId w:val="11"/>
        </w:numPr>
      </w:pPr>
      <w:r>
        <w:t xml:space="preserve">During the lifespan of the current LSIP, </w:t>
      </w:r>
      <w:r w:rsidR="000308F3">
        <w:t xml:space="preserve">new activity will at best focus on early stage construction activity given the operational life of most new clean energy developments is likely to begin post-2030 in the majority of cases. </w:t>
      </w:r>
    </w:p>
    <w:p w14:paraId="0A19AD91" w14:textId="64C61A87" w:rsidR="00B24C58" w:rsidRDefault="006B5928" w:rsidP="00D37CC5">
      <w:pPr>
        <w:pStyle w:val="ListParagraph"/>
        <w:numPr>
          <w:ilvl w:val="0"/>
          <w:numId w:val="11"/>
        </w:numPr>
      </w:pPr>
      <w:r>
        <w:t xml:space="preserve">The understanding of likely workforce implications is very variable. </w:t>
      </w:r>
      <w:r w:rsidR="00037EB0">
        <w:t xml:space="preserve">Nuclear is the </w:t>
      </w:r>
      <w:r w:rsidR="00CD12EC">
        <w:t>clean energy sector with the best visibility of likely future skills needs via NSSG modelling and active industry engagement. But even here, there is great uncertainty about the scale and timing of future activity</w:t>
      </w:r>
      <w:r w:rsidR="00860049">
        <w:t xml:space="preserve"> such that no geographic breakdowns of </w:t>
      </w:r>
      <w:r w:rsidR="0020740E">
        <w:t xml:space="preserve">NSSG’s </w:t>
      </w:r>
      <w:r w:rsidR="00860049">
        <w:t>future workforce models is possible</w:t>
      </w:r>
      <w:r w:rsidR="00CD12EC">
        <w:t xml:space="preserve">. </w:t>
      </w:r>
      <w:r w:rsidR="00860049">
        <w:t xml:space="preserve">Sub-sectors like CCUS and hydrogen appear to have limited </w:t>
      </w:r>
      <w:r w:rsidR="0020740E">
        <w:t>information about</w:t>
      </w:r>
      <w:r w:rsidR="00860049">
        <w:t xml:space="preserve"> occupational skill requirements at this stage</w:t>
      </w:r>
      <w:r w:rsidR="00B24C58">
        <w:t xml:space="preserve"> and even less understanding of the likely scale of demand</w:t>
      </w:r>
      <w:r w:rsidR="00860049">
        <w:t>.</w:t>
      </w:r>
    </w:p>
    <w:p w14:paraId="196B4EA8" w14:textId="4AEF94D4" w:rsidR="00683917" w:rsidRDefault="00B24C58" w:rsidP="00D37CC5">
      <w:pPr>
        <w:pStyle w:val="ListParagraph"/>
        <w:numPr>
          <w:ilvl w:val="0"/>
          <w:numId w:val="11"/>
        </w:numPr>
      </w:pPr>
      <w:r>
        <w:t>Within all forms of clean energy, the largest labour requirement will occur through the construction phase. The scale of employer workforce skill requirements once project</w:t>
      </w:r>
      <w:r w:rsidR="00AA3942">
        <w:t>s</w:t>
      </w:r>
      <w:r>
        <w:t xml:space="preserve"> reach an operational stage are likely to be, in all bar a handful of cases, relatively small. </w:t>
      </w:r>
      <w:r w:rsidR="00860049">
        <w:t xml:space="preserve"> </w:t>
      </w:r>
    </w:p>
    <w:p w14:paraId="2FB60157" w14:textId="2FF3823C" w:rsidR="00B24C58" w:rsidRDefault="00B24C58" w:rsidP="00D37CC5">
      <w:pPr>
        <w:pStyle w:val="ListParagraph"/>
        <w:numPr>
          <w:ilvl w:val="0"/>
          <w:numId w:val="11"/>
        </w:numPr>
      </w:pPr>
      <w:r>
        <w:t xml:space="preserve">The lack of capacity within the electrical grid in Cumbria risks becoming a major constraint on clean energy growth unless investment in made in a long term upgrading of the network. </w:t>
      </w:r>
    </w:p>
    <w:p w14:paraId="3FDF451A" w14:textId="45E573D4" w:rsidR="00C53FD8" w:rsidRDefault="00C53FD8" w:rsidP="00C53FD8">
      <w:pPr>
        <w:pStyle w:val="ListParagraph"/>
        <w:numPr>
          <w:ilvl w:val="0"/>
          <w:numId w:val="11"/>
        </w:numPr>
        <w:spacing w:line="256" w:lineRule="auto"/>
      </w:pPr>
      <w:r>
        <w:t xml:space="preserve">The extent of change represented by the energy transition longer term however presents both a challenge and on opportunity for Cumbria; the challenge to overcome capacity constraints and attract investment, the opportunity to satisfy the county’s own demand with local generation. </w:t>
      </w:r>
    </w:p>
    <w:p w14:paraId="5034057E" w14:textId="77777777" w:rsidR="003749F7" w:rsidRDefault="003749F7" w:rsidP="0034243B"/>
    <w:p w14:paraId="48D63F1C" w14:textId="77777777" w:rsidR="003749F7" w:rsidRDefault="003749F7" w:rsidP="0034243B"/>
    <w:p w14:paraId="560BD466" w14:textId="77777777" w:rsidR="003749F7" w:rsidRDefault="003749F7" w:rsidP="0034243B"/>
    <w:p w14:paraId="196063EF" w14:textId="77777777" w:rsidR="003749F7" w:rsidRDefault="003749F7" w:rsidP="0034243B"/>
    <w:p w14:paraId="22391A0E" w14:textId="45D938EB" w:rsidR="003749F7" w:rsidRDefault="003749F7" w:rsidP="003749F7">
      <w:pPr>
        <w:pStyle w:val="Heading1"/>
      </w:pPr>
      <w:bookmarkStart w:id="10" w:name="_Toc135938260"/>
      <w:r>
        <w:t>4. Data review</w:t>
      </w:r>
      <w:bookmarkEnd w:id="10"/>
    </w:p>
    <w:p w14:paraId="12D41DD1" w14:textId="642D5F7B" w:rsidR="003749F7" w:rsidRDefault="00D71E0B" w:rsidP="0034243B">
      <w:r>
        <w:t xml:space="preserve">The project team undertook a desktop data review, to establish the key facts relating to clean energy in Cumbria, the outputs of which are summarised below: </w:t>
      </w:r>
    </w:p>
    <w:p w14:paraId="0B77CCCE" w14:textId="4A5A3C48" w:rsidR="003749F7" w:rsidRDefault="000E2F32" w:rsidP="000E2F32">
      <w:pPr>
        <w:pStyle w:val="Heading2"/>
      </w:pPr>
      <w:bookmarkStart w:id="11" w:name="_Toc135938261"/>
      <w:r>
        <w:t>4.1 Cumbria’s economy and employers</w:t>
      </w:r>
      <w:bookmarkEnd w:id="11"/>
    </w:p>
    <w:p w14:paraId="3B64168D" w14:textId="761B1108" w:rsidR="000E2F32" w:rsidRDefault="006277A1" w:rsidP="0034243B">
      <w:r>
        <w:t xml:space="preserve">Emissions of CO2 from Cumbria have seen a steady decline over the past decade, </w:t>
      </w:r>
      <w:r w:rsidR="006F2B4F">
        <w:t>driven by significant reductions in emissions from industry, as the chart below shows:</w:t>
      </w:r>
    </w:p>
    <w:p w14:paraId="12AAD5BD" w14:textId="0A9C201A" w:rsidR="006F2B4F" w:rsidRDefault="006F2B4F" w:rsidP="00352824">
      <w:pPr>
        <w:spacing w:after="0"/>
        <w:jc w:val="right"/>
      </w:pPr>
      <w:r w:rsidRPr="006F2B4F">
        <w:rPr>
          <w:noProof/>
        </w:rPr>
        <w:drawing>
          <wp:inline distT="0" distB="0" distL="0" distR="0" wp14:anchorId="6B917DE2" wp14:editId="7C5E6E87">
            <wp:extent cx="5670550" cy="2209800"/>
            <wp:effectExtent l="0" t="0" r="6350" b="0"/>
            <wp:docPr id="854657296" name="Chart 1">
              <a:extLst xmlns:a="http://schemas.openxmlformats.org/drawingml/2006/main">
                <a:ext uri="{FF2B5EF4-FFF2-40B4-BE49-F238E27FC236}">
                  <a16:creationId xmlns:a16="http://schemas.microsoft.com/office/drawing/2014/main" id="{708FF8BB-F706-48AA-93CF-8D17092F25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F2B4F">
        <w:rPr>
          <w:sz w:val="18"/>
          <w:szCs w:val="18"/>
        </w:rPr>
        <w:t>source: BEIS</w:t>
      </w:r>
    </w:p>
    <w:p w14:paraId="3F830652" w14:textId="439A780B" w:rsidR="00DD1C7C" w:rsidRDefault="00DD1C7C" w:rsidP="00DD1C7C">
      <w:r>
        <w:t>The sectoral mix of Cumbria’s economy suggests it is well placed to make a</w:t>
      </w:r>
      <w:r w:rsidR="00361DFE">
        <w:t xml:space="preserve"> significant </w:t>
      </w:r>
      <w:r>
        <w:t xml:space="preserve">contribution to </w:t>
      </w:r>
      <w:r w:rsidR="001853A3">
        <w:t xml:space="preserve">reductions in CO2 emissions. </w:t>
      </w:r>
      <w:r>
        <w:t>NESTA</w:t>
      </w:r>
      <w:r w:rsidR="00993926">
        <w:t xml:space="preserve">, </w:t>
      </w:r>
      <w:r w:rsidR="00F51288">
        <w:t xml:space="preserve">the innovation agency, created an </w:t>
      </w:r>
      <w:r>
        <w:t xml:space="preserve">Eco-Transformation of Industries Matrix </w:t>
      </w:r>
      <w:r w:rsidR="00F51288">
        <w:t xml:space="preserve">that </w:t>
      </w:r>
      <w:r w:rsidR="00352824">
        <w:t>categorises</w:t>
      </w:r>
      <w:r>
        <w:t xml:space="preserve"> sectors according to their level of emissions and level of environmental activity, as shown in the table below. </w:t>
      </w:r>
    </w:p>
    <w:p w14:paraId="6D9C358B" w14:textId="750C642E" w:rsidR="00352824" w:rsidRPr="009B3A93" w:rsidRDefault="00352824" w:rsidP="00352824">
      <w:pPr>
        <w:rPr>
          <w:b/>
          <w:bCs/>
          <w:sz w:val="20"/>
          <w:szCs w:val="20"/>
        </w:rPr>
      </w:pPr>
      <w:r w:rsidRPr="009B3A93">
        <w:rPr>
          <w:b/>
          <w:bCs/>
          <w:sz w:val="20"/>
          <w:szCs w:val="20"/>
        </w:rPr>
        <w:t>Figure</w:t>
      </w:r>
      <w:r w:rsidR="007D2BE3">
        <w:rPr>
          <w:b/>
          <w:bCs/>
          <w:sz w:val="20"/>
          <w:szCs w:val="20"/>
        </w:rPr>
        <w:t xml:space="preserve"> 2</w:t>
      </w:r>
      <w:r w:rsidRPr="009B3A93">
        <w:rPr>
          <w:b/>
          <w:bCs/>
          <w:sz w:val="20"/>
          <w:szCs w:val="20"/>
        </w:rPr>
        <w:t>: The NESTA Eco-Transformation of Industries Matrix</w:t>
      </w:r>
      <w:r w:rsidRPr="009B3A93">
        <w:rPr>
          <w:rStyle w:val="FootnoteReference"/>
          <w:b/>
          <w:bCs/>
          <w:sz w:val="20"/>
          <w:szCs w:val="20"/>
        </w:rPr>
        <w:footnoteReference w:id="20"/>
      </w:r>
    </w:p>
    <w:p w14:paraId="20964EEF" w14:textId="2FB8D878" w:rsidR="00DD1C7C" w:rsidRDefault="00352824" w:rsidP="00DD1C7C">
      <w:r w:rsidRPr="002F4E13">
        <w:rPr>
          <w:noProof/>
        </w:rPr>
        <w:drawing>
          <wp:anchor distT="0" distB="0" distL="114300" distR="114300" simplePos="0" relativeHeight="251659264" behindDoc="0" locked="0" layoutInCell="1" allowOverlap="1" wp14:anchorId="6A0681E4" wp14:editId="00FB216E">
            <wp:simplePos x="0" y="0"/>
            <wp:positionH relativeFrom="margin">
              <wp:align>left</wp:align>
            </wp:positionH>
            <wp:positionV relativeFrom="paragraph">
              <wp:posOffset>-73660</wp:posOffset>
            </wp:positionV>
            <wp:extent cx="3041650" cy="3122930"/>
            <wp:effectExtent l="0" t="0" r="6350" b="1270"/>
            <wp:wrapSquare wrapText="bothSides"/>
            <wp:docPr id="33" name="Picture 4" descr="A picture containing text&#10;&#10;Description automatically generated">
              <a:extLst xmlns:a="http://schemas.openxmlformats.org/drawingml/2006/main">
                <a:ext uri="{FF2B5EF4-FFF2-40B4-BE49-F238E27FC236}">
                  <a16:creationId xmlns:a16="http://schemas.microsoft.com/office/drawing/2014/main" id="{5FC253BA-DFAD-4E9F-B7F2-97090B82F5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 descr="A picture containing text&#10;&#10;Description automatically generated">
                      <a:extLst>
                        <a:ext uri="{FF2B5EF4-FFF2-40B4-BE49-F238E27FC236}">
                          <a16:creationId xmlns:a16="http://schemas.microsoft.com/office/drawing/2014/main" id="{5FC253BA-DFAD-4E9F-B7F2-97090B82F5C3}"/>
                        </a:ext>
                      </a:extLst>
                    </pic:cNvPr>
                    <pic:cNvPicPr>
                      <a:picLocks noChangeAspect="1"/>
                    </pic:cNvPicPr>
                  </pic:nvPicPr>
                  <pic:blipFill rotWithShape="1">
                    <a:blip r:embed="rId16">
                      <a:extLst>
                        <a:ext uri="{28A0092B-C50C-407E-A947-70E740481C1C}">
                          <a14:useLocalDpi xmlns:a14="http://schemas.microsoft.com/office/drawing/2010/main" val="0"/>
                        </a:ext>
                      </a:extLst>
                    </a:blip>
                    <a:srcRect l="63140" t="26667" r="8430" b="21429"/>
                    <a:stretch/>
                  </pic:blipFill>
                  <pic:spPr>
                    <a:xfrm>
                      <a:off x="0" y="0"/>
                      <a:ext cx="3041650" cy="3122930"/>
                    </a:xfrm>
                    <a:prstGeom prst="rect">
                      <a:avLst/>
                    </a:prstGeom>
                  </pic:spPr>
                </pic:pic>
              </a:graphicData>
            </a:graphic>
            <wp14:sizeRelH relativeFrom="page">
              <wp14:pctWidth>0</wp14:pctWidth>
            </wp14:sizeRelH>
            <wp14:sizeRelV relativeFrom="page">
              <wp14:pctHeight>0</wp14:pctHeight>
            </wp14:sizeRelV>
          </wp:anchor>
        </w:drawing>
      </w:r>
      <w:r w:rsidR="00DD1C7C">
        <w:t xml:space="preserve">NESTA’s view is that the most significant gains in reducing emissions are to be made in the group of sectors it classes as ‘followers’ – </w:t>
      </w:r>
      <w:proofErr w:type="spellStart"/>
      <w:r w:rsidR="00DD1C7C">
        <w:t>ie</w:t>
      </w:r>
      <w:proofErr w:type="spellEnd"/>
      <w:r w:rsidR="00DD1C7C">
        <w:t xml:space="preserve">. significant in scale, with current high levels of emissions, but also a high level of environmental activity due to customer expectations, government regulation, and market competition. </w:t>
      </w:r>
    </w:p>
    <w:p w14:paraId="70FF93F3" w14:textId="3BB4E30D" w:rsidR="00F95EB1" w:rsidRDefault="00951101" w:rsidP="0034243B">
      <w:r>
        <w:t xml:space="preserve">A higher than average number of jobs in Cumbria are within sectors </w:t>
      </w:r>
      <w:r w:rsidR="001853A3">
        <w:t>classed by NESTA as ‘followers’</w:t>
      </w:r>
      <w:r>
        <w:t xml:space="preserve"> - </w:t>
      </w:r>
      <w:r w:rsidR="009F2C2E">
        <w:t>24.6</w:t>
      </w:r>
      <w:r w:rsidR="001853A3">
        <w:t xml:space="preserve">% of </w:t>
      </w:r>
      <w:r w:rsidR="009F2C2E">
        <w:t>local</w:t>
      </w:r>
      <w:r w:rsidR="001853A3">
        <w:t xml:space="preserve"> jobs</w:t>
      </w:r>
      <w:r>
        <w:t xml:space="preserve"> </w:t>
      </w:r>
      <w:r w:rsidR="001853A3">
        <w:t xml:space="preserve">compared to </w:t>
      </w:r>
      <w:r w:rsidR="00E7770E">
        <w:t xml:space="preserve">15.3% nationally. Cumbria </w:t>
      </w:r>
      <w:r w:rsidR="001853A3">
        <w:t xml:space="preserve">also has a </w:t>
      </w:r>
      <w:r w:rsidR="00F95EB1">
        <w:t>large share</w:t>
      </w:r>
      <w:r w:rsidR="001853A3">
        <w:t xml:space="preserve"> of jobs in sectors classed as ‘laggards’– </w:t>
      </w:r>
      <w:r w:rsidR="00352824">
        <w:t>33.4</w:t>
      </w:r>
      <w:r w:rsidR="001853A3">
        <w:t xml:space="preserve">%, </w:t>
      </w:r>
      <w:r w:rsidR="003A3E1B">
        <w:t>against</w:t>
      </w:r>
      <w:r w:rsidR="001853A3">
        <w:t xml:space="preserve"> </w:t>
      </w:r>
      <w:r w:rsidR="00352824">
        <w:t>a national</w:t>
      </w:r>
      <w:r w:rsidR="001853A3">
        <w:t xml:space="preserve"> average of </w:t>
      </w:r>
      <w:r w:rsidR="00352824">
        <w:t>27.3</w:t>
      </w:r>
      <w:r w:rsidR="001853A3">
        <w:t>%</w:t>
      </w:r>
    </w:p>
    <w:p w14:paraId="1DE7CB43" w14:textId="08B709CC" w:rsidR="00352824" w:rsidRDefault="007559E6" w:rsidP="0034243B">
      <w:r>
        <w:t xml:space="preserve">According to the Environment Agency, </w:t>
      </w:r>
      <w:r w:rsidR="0099317F">
        <w:t xml:space="preserve">relatively few large polluters remain in Cumbria. Its Pollution Inventory </w:t>
      </w:r>
      <w:r w:rsidR="00A60213">
        <w:t>lists the county’s largest emitters</w:t>
      </w:r>
      <w:r w:rsidR="000F5D01">
        <w:rPr>
          <w:rStyle w:val="FootnoteReference"/>
        </w:rPr>
        <w:footnoteReference w:id="21"/>
      </w:r>
      <w:r w:rsidR="00A60213">
        <w:t xml:space="preserve"> – with only three emitting more than 100kt of CO2</w:t>
      </w:r>
      <w:r w:rsidR="009B3A93">
        <w:t xml:space="preserve"> in 2020, as shown in the chart below: </w:t>
      </w:r>
      <w:r>
        <w:t xml:space="preserve"> </w:t>
      </w:r>
    </w:p>
    <w:p w14:paraId="64122752" w14:textId="0BA43DB1" w:rsidR="00352824" w:rsidRDefault="009B3A93" w:rsidP="0034243B">
      <w:r w:rsidRPr="009B3A93">
        <w:rPr>
          <w:noProof/>
        </w:rPr>
        <w:drawing>
          <wp:inline distT="0" distB="0" distL="0" distR="0" wp14:anchorId="35220EE7" wp14:editId="2A739B21">
            <wp:extent cx="5731510" cy="2654300"/>
            <wp:effectExtent l="0" t="0" r="2540" b="0"/>
            <wp:docPr id="1855677257" name="Chart 1">
              <a:extLst xmlns:a="http://schemas.openxmlformats.org/drawingml/2006/main">
                <a:ext uri="{FF2B5EF4-FFF2-40B4-BE49-F238E27FC236}">
                  <a16:creationId xmlns:a16="http://schemas.microsoft.com/office/drawing/2014/main" id="{DDABEA2D-5354-7DC4-A891-CFFBC13F8B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70795E" w14:textId="77777777" w:rsidR="0029179F" w:rsidRPr="0029179F" w:rsidRDefault="0029179F" w:rsidP="0029179F">
      <w:pPr>
        <w:spacing w:after="0"/>
        <w:jc w:val="right"/>
        <w:rPr>
          <w:sz w:val="18"/>
          <w:szCs w:val="18"/>
        </w:rPr>
      </w:pPr>
      <w:r w:rsidRPr="0029179F">
        <w:rPr>
          <w:sz w:val="18"/>
          <w:szCs w:val="18"/>
        </w:rPr>
        <w:t>Source: Environment Agency</w:t>
      </w:r>
    </w:p>
    <w:p w14:paraId="53DF28FC" w14:textId="3DF97390" w:rsidR="004343C4" w:rsidRDefault="004343C4" w:rsidP="00540FB6">
      <w:pPr>
        <w:pStyle w:val="Heading2"/>
      </w:pPr>
      <w:bookmarkStart w:id="12" w:name="_Toc135938262"/>
      <w:r>
        <w:t xml:space="preserve">4.2 </w:t>
      </w:r>
      <w:r w:rsidR="00540FB6">
        <w:t>Key projects: Past, current and future</w:t>
      </w:r>
      <w:bookmarkEnd w:id="12"/>
    </w:p>
    <w:p w14:paraId="072245CC" w14:textId="3B2B1B1D" w:rsidR="00540FB6" w:rsidRDefault="00936530" w:rsidP="0034243B">
      <w:r>
        <w:t xml:space="preserve">Government’s Renewable Energy Planning Database highlights a pattern of relatively small projects developing in Cumbria. </w:t>
      </w:r>
      <w:r w:rsidR="003D33F0">
        <w:t xml:space="preserve">A list of the top 10 projects by installed capacity is provided below: </w:t>
      </w:r>
    </w:p>
    <w:p w14:paraId="4A8746F6" w14:textId="672CF1DE" w:rsidR="001D4B17" w:rsidRPr="001D4B17" w:rsidRDefault="001D4B17" w:rsidP="001D4B17">
      <w:pPr>
        <w:spacing w:after="120"/>
        <w:rPr>
          <w:b/>
          <w:bCs/>
          <w:sz w:val="20"/>
          <w:szCs w:val="20"/>
        </w:rPr>
      </w:pPr>
      <w:r w:rsidRPr="001D4B17">
        <w:rPr>
          <w:b/>
          <w:bCs/>
          <w:sz w:val="20"/>
          <w:szCs w:val="20"/>
        </w:rPr>
        <w:t xml:space="preserve">Figure </w:t>
      </w:r>
      <w:r w:rsidR="007D2BE3">
        <w:rPr>
          <w:b/>
          <w:bCs/>
          <w:sz w:val="20"/>
          <w:szCs w:val="20"/>
        </w:rPr>
        <w:t>4</w:t>
      </w:r>
      <w:r w:rsidRPr="001D4B17">
        <w:rPr>
          <w:b/>
          <w:bCs/>
          <w:sz w:val="20"/>
          <w:szCs w:val="20"/>
        </w:rPr>
        <w:t>: Top ten renewable energy projects in Cumbria, last 20 years</w:t>
      </w:r>
    </w:p>
    <w:tbl>
      <w:tblPr>
        <w:tblW w:w="5000" w:type="pct"/>
        <w:tblCellMar>
          <w:left w:w="0" w:type="dxa"/>
          <w:right w:w="0" w:type="dxa"/>
        </w:tblCellMar>
        <w:tblLook w:val="0420" w:firstRow="1" w:lastRow="0" w:firstColumn="0" w:lastColumn="0" w:noHBand="0" w:noVBand="1"/>
      </w:tblPr>
      <w:tblGrid>
        <w:gridCol w:w="2020"/>
        <w:gridCol w:w="1714"/>
        <w:gridCol w:w="1368"/>
        <w:gridCol w:w="1618"/>
        <w:gridCol w:w="1283"/>
        <w:gridCol w:w="1003"/>
      </w:tblGrid>
      <w:tr w:rsidR="001D4B17" w:rsidRPr="001D4B17" w14:paraId="22190738" w14:textId="77777777" w:rsidTr="001D4B17">
        <w:trPr>
          <w:trHeight w:val="617"/>
        </w:trPr>
        <w:tc>
          <w:tcPr>
            <w:tcW w:w="1149"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3263C95C"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bookmarkStart w:id="13" w:name="_Hlk135775250"/>
            <w:r w:rsidRPr="001D4B17">
              <w:rPr>
                <w:rFonts w:ascii="Calibri" w:eastAsia="Calibri" w:hAnsi="Calibri" w:cs="Calibri"/>
                <w:b/>
                <w:bCs/>
                <w:color w:val="FFFFFF" w:themeColor="light1"/>
                <w:kern w:val="24"/>
                <w:sz w:val="20"/>
                <w:szCs w:val="20"/>
                <w:lang w:eastAsia="en-GB"/>
                <w14:ligatures w14:val="none"/>
              </w:rPr>
              <w:t>Operator</w:t>
            </w:r>
          </w:p>
        </w:tc>
        <w:tc>
          <w:tcPr>
            <w:tcW w:w="979"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39308E7C"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r w:rsidRPr="001D4B17">
              <w:rPr>
                <w:rFonts w:ascii="Calibri" w:eastAsia="Calibri" w:hAnsi="Calibri" w:cs="Calibri"/>
                <w:b/>
                <w:bCs/>
                <w:color w:val="FFFFFF" w:themeColor="light1"/>
                <w:kern w:val="24"/>
                <w:sz w:val="20"/>
                <w:szCs w:val="20"/>
                <w:lang w:eastAsia="en-GB"/>
                <w14:ligatures w14:val="none"/>
              </w:rPr>
              <w:t>Site</w:t>
            </w:r>
          </w:p>
        </w:tc>
        <w:tc>
          <w:tcPr>
            <w:tcW w:w="786"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16D71081"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r w:rsidRPr="001D4B17">
              <w:rPr>
                <w:rFonts w:ascii="Calibri" w:eastAsia="Calibri" w:hAnsi="Calibri" w:cs="Calibri"/>
                <w:b/>
                <w:bCs/>
                <w:color w:val="FFFFFF" w:themeColor="light1"/>
                <w:kern w:val="24"/>
                <w:sz w:val="20"/>
                <w:szCs w:val="20"/>
                <w:lang w:eastAsia="en-GB"/>
                <w14:ligatures w14:val="none"/>
              </w:rPr>
              <w:t>Technology type</w:t>
            </w:r>
          </w:p>
        </w:tc>
        <w:tc>
          <w:tcPr>
            <w:tcW w:w="925"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53A0D617"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r w:rsidRPr="001D4B17">
              <w:rPr>
                <w:rFonts w:ascii="Calibri" w:eastAsia="Calibri" w:hAnsi="Calibri" w:cs="Calibri"/>
                <w:b/>
                <w:bCs/>
                <w:color w:val="FFFFFF" w:themeColor="light1"/>
                <w:kern w:val="24"/>
                <w:sz w:val="20"/>
                <w:szCs w:val="20"/>
                <w:lang w:eastAsia="en-GB"/>
                <w14:ligatures w14:val="none"/>
              </w:rPr>
              <w:t>Development status</w:t>
            </w:r>
          </w:p>
        </w:tc>
        <w:tc>
          <w:tcPr>
            <w:tcW w:w="580"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5C421728"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r w:rsidRPr="001D4B17">
              <w:rPr>
                <w:rFonts w:ascii="Calibri" w:eastAsia="Calibri" w:hAnsi="Calibri" w:cs="Calibri"/>
                <w:b/>
                <w:bCs/>
                <w:color w:val="FFFFFF" w:themeColor="light1"/>
                <w:kern w:val="24"/>
                <w:sz w:val="20"/>
                <w:szCs w:val="20"/>
                <w:lang w:eastAsia="en-GB"/>
                <w14:ligatures w14:val="none"/>
              </w:rPr>
              <w:t>Operational</w:t>
            </w:r>
          </w:p>
        </w:tc>
        <w:tc>
          <w:tcPr>
            <w:tcW w:w="580"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hideMark/>
          </w:tcPr>
          <w:p w14:paraId="6E7F3B76" w14:textId="77777777" w:rsidR="001D4B17" w:rsidRPr="001D4B17" w:rsidRDefault="001D4B17" w:rsidP="001D4B17">
            <w:pPr>
              <w:spacing w:after="0" w:line="240" w:lineRule="auto"/>
              <w:rPr>
                <w:rFonts w:ascii="Arial" w:eastAsia="Times New Roman" w:hAnsi="Arial" w:cs="Arial"/>
                <w:kern w:val="0"/>
                <w:sz w:val="20"/>
                <w:szCs w:val="20"/>
                <w:lang w:eastAsia="en-GB"/>
                <w14:ligatures w14:val="none"/>
              </w:rPr>
            </w:pPr>
            <w:r w:rsidRPr="001D4B17">
              <w:rPr>
                <w:rFonts w:ascii="Calibri" w:eastAsia="Calibri" w:hAnsi="Calibri" w:cs="Calibri"/>
                <w:b/>
                <w:bCs/>
                <w:color w:val="FFFFFF" w:themeColor="light1"/>
                <w:kern w:val="24"/>
                <w:sz w:val="20"/>
                <w:szCs w:val="20"/>
                <w:lang w:eastAsia="en-GB"/>
                <w14:ligatures w14:val="none"/>
              </w:rPr>
              <w:t>Installed capacity (MW)</w:t>
            </w:r>
          </w:p>
        </w:tc>
      </w:tr>
      <w:tr w:rsidR="001D4B17" w:rsidRPr="001D4B17" w14:paraId="59C3ADA5" w14:textId="77777777" w:rsidTr="001D4B17">
        <w:trPr>
          <w:trHeight w:val="340"/>
        </w:trPr>
        <w:tc>
          <w:tcPr>
            <w:tcW w:w="1149"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3536B1CE"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Pivot Power</w:t>
            </w:r>
          </w:p>
        </w:tc>
        <w:tc>
          <w:tcPr>
            <w:tcW w:w="979"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0E500A19"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Harker Grid Sub Station</w:t>
            </w:r>
          </w:p>
        </w:tc>
        <w:tc>
          <w:tcPr>
            <w:tcW w:w="786"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FA027E4"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Battery</w:t>
            </w:r>
          </w:p>
        </w:tc>
        <w:tc>
          <w:tcPr>
            <w:tcW w:w="925"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E27224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Awaiting Construction</w:t>
            </w:r>
          </w:p>
        </w:tc>
        <w:tc>
          <w:tcPr>
            <w:tcW w:w="580"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E59FBF2"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tbc</w:t>
            </w:r>
          </w:p>
        </w:tc>
        <w:tc>
          <w:tcPr>
            <w:tcW w:w="580"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4D232EB5"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49.9</w:t>
            </w:r>
          </w:p>
        </w:tc>
      </w:tr>
      <w:tr w:rsidR="001D4B17" w:rsidRPr="001D4B17" w14:paraId="0CDF36A4"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2E96F41"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Centrica</w:t>
            </w:r>
          </w:p>
        </w:tc>
        <w:tc>
          <w:tcPr>
            <w:tcW w:w="97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105DE210"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proofErr w:type="spellStart"/>
            <w:r w:rsidRPr="001D4B17">
              <w:rPr>
                <w:rFonts w:ascii="Calibri" w:eastAsia="Times New Roman" w:hAnsi="Calibri" w:cs="Calibri"/>
                <w:color w:val="000000"/>
                <w:kern w:val="24"/>
                <w:sz w:val="20"/>
                <w:szCs w:val="20"/>
                <w:lang w:eastAsia="en-GB"/>
                <w14:ligatures w14:val="none"/>
              </w:rPr>
              <w:t>Roosecote</w:t>
            </w:r>
            <w:proofErr w:type="spellEnd"/>
          </w:p>
        </w:tc>
        <w:tc>
          <w:tcPr>
            <w:tcW w:w="786"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7CB6444B"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Battery</w:t>
            </w:r>
          </w:p>
        </w:tc>
        <w:tc>
          <w:tcPr>
            <w:tcW w:w="925"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7766F23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366593B"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2013</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87A0A05"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49</w:t>
            </w:r>
          </w:p>
        </w:tc>
      </w:tr>
      <w:tr w:rsidR="001D4B17" w:rsidRPr="001D4B17" w14:paraId="628EA87D"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6A3FD65E"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Iggesund Paperboard</w:t>
            </w:r>
          </w:p>
        </w:tc>
        <w:tc>
          <w:tcPr>
            <w:tcW w:w="97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E0FB51B"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Workington</w:t>
            </w:r>
          </w:p>
        </w:tc>
        <w:tc>
          <w:tcPr>
            <w:tcW w:w="786"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BA3A84C"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Biomass</w:t>
            </w:r>
          </w:p>
        </w:tc>
        <w:tc>
          <w:tcPr>
            <w:tcW w:w="925"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407C3D2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79420CCD"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2018</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75F2114D"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49</w:t>
            </w:r>
          </w:p>
        </w:tc>
      </w:tr>
      <w:tr w:rsidR="001D4B17" w:rsidRPr="001D4B17" w14:paraId="48C07279"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15E2A47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 xml:space="preserve">Carlton Power </w:t>
            </w:r>
          </w:p>
        </w:tc>
        <w:tc>
          <w:tcPr>
            <w:tcW w:w="97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32CB658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Barrow in Furness - Barrow Green</w:t>
            </w:r>
          </w:p>
        </w:tc>
        <w:tc>
          <w:tcPr>
            <w:tcW w:w="786"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001F9A1"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Hydrogen</w:t>
            </w:r>
          </w:p>
        </w:tc>
        <w:tc>
          <w:tcPr>
            <w:tcW w:w="925"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26D26151" w14:textId="58E353E0" w:rsidR="001D4B17" w:rsidRPr="001D4B17" w:rsidRDefault="00887161" w:rsidP="001D4B17">
            <w:pPr>
              <w:spacing w:after="0" w:line="240" w:lineRule="auto"/>
              <w:textAlignment w:val="bottom"/>
              <w:rPr>
                <w:rFonts w:ascii="Arial" w:eastAsia="Times New Roman" w:hAnsi="Arial" w:cs="Arial"/>
                <w:kern w:val="0"/>
                <w:sz w:val="20"/>
                <w:szCs w:val="20"/>
                <w:lang w:eastAsia="en-GB"/>
                <w14:ligatures w14:val="none"/>
              </w:rPr>
            </w:pPr>
            <w:r>
              <w:rPr>
                <w:rFonts w:ascii="Calibri" w:eastAsia="Times New Roman" w:hAnsi="Calibri" w:cs="Calibri"/>
                <w:color w:val="000000"/>
                <w:kern w:val="24"/>
                <w:sz w:val="20"/>
                <w:szCs w:val="20"/>
                <w:lang w:eastAsia="en-GB"/>
                <w14:ligatures w14:val="none"/>
              </w:rPr>
              <w:t>Planning consent secured</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6FEC335E"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proofErr w:type="spellStart"/>
            <w:r w:rsidRPr="001D4B17">
              <w:rPr>
                <w:rFonts w:ascii="Calibri" w:eastAsia="Times New Roman" w:hAnsi="Calibri" w:cs="Calibri"/>
                <w:color w:val="000000"/>
                <w:kern w:val="24"/>
                <w:sz w:val="20"/>
                <w:szCs w:val="20"/>
                <w:lang w:eastAsia="en-GB"/>
                <w14:ligatures w14:val="none"/>
              </w:rPr>
              <w:t>est</w:t>
            </w:r>
            <w:proofErr w:type="spellEnd"/>
            <w:r w:rsidRPr="001D4B17">
              <w:rPr>
                <w:rFonts w:ascii="Calibri" w:eastAsia="Times New Roman" w:hAnsi="Calibri" w:cs="Calibri"/>
                <w:color w:val="000000"/>
                <w:kern w:val="24"/>
                <w:sz w:val="20"/>
                <w:szCs w:val="20"/>
                <w:lang w:eastAsia="en-GB"/>
                <w14:ligatures w14:val="none"/>
              </w:rPr>
              <w:t xml:space="preserve"> 2025</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537BA046"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35</w:t>
            </w:r>
          </w:p>
        </w:tc>
      </w:tr>
      <w:tr w:rsidR="001D4B17" w:rsidRPr="001D4B17" w14:paraId="221D05FD"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19F46C05"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EDF Energy Renewables</w:t>
            </w:r>
          </w:p>
        </w:tc>
        <w:tc>
          <w:tcPr>
            <w:tcW w:w="97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50E0AA0C"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 xml:space="preserve">Beck Burn </w:t>
            </w:r>
          </w:p>
        </w:tc>
        <w:tc>
          <w:tcPr>
            <w:tcW w:w="786"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55E86AF8"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Wind Onshore</w:t>
            </w:r>
          </w:p>
        </w:tc>
        <w:tc>
          <w:tcPr>
            <w:tcW w:w="925"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505C996A"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0B7651E0"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2017</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552FB419"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31</w:t>
            </w:r>
          </w:p>
        </w:tc>
      </w:tr>
      <w:tr w:rsidR="001D4B17" w:rsidRPr="001D4B17" w14:paraId="5812CCAA"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E7B8BC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Elgin Energy</w:t>
            </w:r>
          </w:p>
        </w:tc>
        <w:tc>
          <w:tcPr>
            <w:tcW w:w="97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74AD6AF0"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 xml:space="preserve">High </w:t>
            </w:r>
            <w:proofErr w:type="spellStart"/>
            <w:r w:rsidRPr="001D4B17">
              <w:rPr>
                <w:rFonts w:ascii="Calibri" w:eastAsia="Times New Roman" w:hAnsi="Calibri" w:cs="Calibri"/>
                <w:color w:val="000000"/>
                <w:kern w:val="24"/>
                <w:sz w:val="20"/>
                <w:szCs w:val="20"/>
                <w:lang w:eastAsia="en-GB"/>
                <w14:ligatures w14:val="none"/>
              </w:rPr>
              <w:t>Parkfoot</w:t>
            </w:r>
            <w:proofErr w:type="spellEnd"/>
            <w:r w:rsidRPr="001D4B17">
              <w:rPr>
                <w:rFonts w:ascii="Calibri" w:eastAsia="Times New Roman" w:hAnsi="Calibri" w:cs="Calibri"/>
                <w:color w:val="000000"/>
                <w:kern w:val="24"/>
                <w:sz w:val="20"/>
                <w:szCs w:val="20"/>
                <w:lang w:eastAsia="en-GB"/>
                <w14:ligatures w14:val="none"/>
              </w:rPr>
              <w:t xml:space="preserve"> Farm</w:t>
            </w:r>
          </w:p>
        </w:tc>
        <w:tc>
          <w:tcPr>
            <w:tcW w:w="786"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3BEC74BF"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Solar Photovoltaics</w:t>
            </w:r>
          </w:p>
        </w:tc>
        <w:tc>
          <w:tcPr>
            <w:tcW w:w="925"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79478B17"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Awaiting Construction</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48AFEB0A"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tbc</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1FD8B7E0"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w:t>
            </w:r>
          </w:p>
        </w:tc>
      </w:tr>
      <w:tr w:rsidR="001D4B17" w:rsidRPr="001D4B17" w14:paraId="5726B223"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644269C0"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United Photovoltaics</w:t>
            </w:r>
          </w:p>
        </w:tc>
        <w:tc>
          <w:tcPr>
            <w:tcW w:w="97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62DFDC57"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Aspatria</w:t>
            </w:r>
          </w:p>
        </w:tc>
        <w:tc>
          <w:tcPr>
            <w:tcW w:w="786"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4114DD88"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Solar Photovoltaics</w:t>
            </w:r>
          </w:p>
        </w:tc>
        <w:tc>
          <w:tcPr>
            <w:tcW w:w="925"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588381C5"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48165AD3"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2015</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1CA73EF3"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19</w:t>
            </w:r>
          </w:p>
        </w:tc>
      </w:tr>
      <w:tr w:rsidR="001D4B17" w:rsidRPr="001D4B17" w14:paraId="79B65AEC"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028CDBF5"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STOR 141 Limited</w:t>
            </w:r>
          </w:p>
        </w:tc>
        <w:tc>
          <w:tcPr>
            <w:tcW w:w="97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70DF076A"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Grassing Rome Street</w:t>
            </w:r>
          </w:p>
        </w:tc>
        <w:tc>
          <w:tcPr>
            <w:tcW w:w="786"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372C5D4E"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Battery</w:t>
            </w:r>
          </w:p>
        </w:tc>
        <w:tc>
          <w:tcPr>
            <w:tcW w:w="925"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3C044431"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Application Submitted</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0AB8D0E3"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tbc</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6F325A12"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15.5</w:t>
            </w:r>
          </w:p>
        </w:tc>
      </w:tr>
      <w:tr w:rsidR="001D4B17" w:rsidRPr="001D4B17" w14:paraId="6E73ADDE"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63CB0FA3"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 xml:space="preserve">REG </w:t>
            </w:r>
            <w:proofErr w:type="spellStart"/>
            <w:r w:rsidRPr="001D4B17">
              <w:rPr>
                <w:rFonts w:ascii="Calibri" w:eastAsia="Times New Roman" w:hAnsi="Calibri" w:cs="Calibri"/>
                <w:color w:val="000000"/>
                <w:kern w:val="24"/>
                <w:sz w:val="20"/>
                <w:szCs w:val="20"/>
                <w:lang w:eastAsia="en-GB"/>
                <w14:ligatures w14:val="none"/>
              </w:rPr>
              <w:t>Windpower</w:t>
            </w:r>
            <w:proofErr w:type="spellEnd"/>
            <w:r w:rsidRPr="001D4B17">
              <w:rPr>
                <w:rFonts w:ascii="Calibri" w:eastAsia="Times New Roman" w:hAnsi="Calibri" w:cs="Calibri"/>
                <w:color w:val="000000"/>
                <w:kern w:val="24"/>
                <w:sz w:val="20"/>
                <w:szCs w:val="20"/>
                <w:lang w:eastAsia="en-GB"/>
                <w14:ligatures w14:val="none"/>
              </w:rPr>
              <w:t>/ BlackRock</w:t>
            </w:r>
          </w:p>
        </w:tc>
        <w:tc>
          <w:tcPr>
            <w:tcW w:w="979"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0023BC75"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proofErr w:type="spellStart"/>
            <w:r w:rsidRPr="001D4B17">
              <w:rPr>
                <w:rFonts w:ascii="Calibri" w:eastAsia="Times New Roman" w:hAnsi="Calibri" w:cs="Calibri"/>
                <w:color w:val="000000"/>
                <w:kern w:val="24"/>
                <w:sz w:val="20"/>
                <w:szCs w:val="20"/>
                <w:lang w:eastAsia="en-GB"/>
                <w14:ligatures w14:val="none"/>
              </w:rPr>
              <w:t>Hallburn</w:t>
            </w:r>
            <w:proofErr w:type="spellEnd"/>
            <w:r w:rsidRPr="001D4B17">
              <w:rPr>
                <w:rFonts w:ascii="Calibri" w:eastAsia="Times New Roman" w:hAnsi="Calibri" w:cs="Calibri"/>
                <w:color w:val="000000"/>
                <w:kern w:val="24"/>
                <w:sz w:val="20"/>
                <w:szCs w:val="20"/>
                <w:lang w:eastAsia="en-GB"/>
                <w14:ligatures w14:val="none"/>
              </w:rPr>
              <w:t xml:space="preserve"> Farm </w:t>
            </w:r>
          </w:p>
        </w:tc>
        <w:tc>
          <w:tcPr>
            <w:tcW w:w="786"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7601789E"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Wind Onshore</w:t>
            </w:r>
          </w:p>
        </w:tc>
        <w:tc>
          <w:tcPr>
            <w:tcW w:w="925"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317D345F"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2B4EE2D3"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2018</w:t>
            </w:r>
          </w:p>
        </w:tc>
        <w:tc>
          <w:tcPr>
            <w:tcW w:w="58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hideMark/>
          </w:tcPr>
          <w:p w14:paraId="0C6088FB"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13.2</w:t>
            </w:r>
          </w:p>
        </w:tc>
      </w:tr>
      <w:tr w:rsidR="001D4B17" w:rsidRPr="001D4B17" w14:paraId="5CE5BB27" w14:textId="77777777" w:rsidTr="001D4B17">
        <w:trPr>
          <w:trHeight w:val="340"/>
        </w:trPr>
        <w:tc>
          <w:tcPr>
            <w:tcW w:w="114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66E20FB0"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Banks Renewables</w:t>
            </w:r>
          </w:p>
        </w:tc>
        <w:tc>
          <w:tcPr>
            <w:tcW w:w="979"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0980BE77"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Armistead Wind Farm</w:t>
            </w:r>
          </w:p>
        </w:tc>
        <w:tc>
          <w:tcPr>
            <w:tcW w:w="786"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2B178172"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Wind Onshore</w:t>
            </w:r>
          </w:p>
        </w:tc>
        <w:tc>
          <w:tcPr>
            <w:tcW w:w="925"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3FCDBE51" w14:textId="77777777" w:rsidR="001D4B17" w:rsidRPr="001D4B17" w:rsidRDefault="001D4B17" w:rsidP="001D4B17">
            <w:pPr>
              <w:spacing w:after="0" w:line="240" w:lineRule="auto"/>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Operational</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530B0357"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2013</w:t>
            </w:r>
          </w:p>
        </w:tc>
        <w:tc>
          <w:tcPr>
            <w:tcW w:w="58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hideMark/>
          </w:tcPr>
          <w:p w14:paraId="688BF93E" w14:textId="77777777" w:rsidR="001D4B17" w:rsidRPr="001D4B17" w:rsidRDefault="001D4B17" w:rsidP="001D4B17">
            <w:pPr>
              <w:spacing w:after="0" w:line="240" w:lineRule="auto"/>
              <w:jc w:val="center"/>
              <w:textAlignment w:val="bottom"/>
              <w:rPr>
                <w:rFonts w:ascii="Arial" w:eastAsia="Times New Roman" w:hAnsi="Arial" w:cs="Arial"/>
                <w:kern w:val="0"/>
                <w:sz w:val="20"/>
                <w:szCs w:val="20"/>
                <w:lang w:eastAsia="en-GB"/>
                <w14:ligatures w14:val="none"/>
              </w:rPr>
            </w:pPr>
            <w:r w:rsidRPr="001D4B17">
              <w:rPr>
                <w:rFonts w:ascii="Calibri" w:eastAsia="Times New Roman" w:hAnsi="Calibri" w:cs="Calibri"/>
                <w:color w:val="000000"/>
                <w:kern w:val="24"/>
                <w:sz w:val="20"/>
                <w:szCs w:val="20"/>
                <w:lang w:eastAsia="en-GB"/>
                <w14:ligatures w14:val="none"/>
              </w:rPr>
              <w:t>12</w:t>
            </w:r>
          </w:p>
        </w:tc>
      </w:tr>
      <w:bookmarkEnd w:id="13"/>
    </w:tbl>
    <w:p w14:paraId="692361D7" w14:textId="77777777" w:rsidR="003D33F0" w:rsidRDefault="003D33F0" w:rsidP="0034243B"/>
    <w:p w14:paraId="4A2310F2" w14:textId="77777777" w:rsidR="00540FB6" w:rsidRDefault="00540FB6" w:rsidP="0034243B"/>
    <w:p w14:paraId="3C39A7E7" w14:textId="2AA9ACA6" w:rsidR="001D4B17" w:rsidRDefault="001D4B17" w:rsidP="0034243B">
      <w:r>
        <w:t>The above list presents an interesting mix of activity, including Cumbria’s first hydrogen project led by Carlton Power</w:t>
      </w:r>
      <w:r w:rsidR="003A3F7F">
        <w:t xml:space="preserve"> which has secured </w:t>
      </w:r>
      <w:r w:rsidR="00A26D9D">
        <w:t>support from Government’s Hydrogen Business Model</w:t>
      </w:r>
      <w:r w:rsidR="00363A81">
        <w:t xml:space="preserve"> to provide hydrogen to the local Kimberly Clark factory in Barrow</w:t>
      </w:r>
      <w:r w:rsidR="00B17AE8">
        <w:t xml:space="preserve">, producing about 3000 tonnes of hydrogen daily. The scheme </w:t>
      </w:r>
      <w:r w:rsidR="008B7E55">
        <w:t xml:space="preserve">has recently been granted planning consent and </w:t>
      </w:r>
      <w:r w:rsidR="00B17AE8">
        <w:t xml:space="preserve">will enter commercial operation in 2025, employing </w:t>
      </w:r>
      <w:r w:rsidR="005057DC">
        <w:t>25</w:t>
      </w:r>
      <w:r w:rsidR="00B17AE8">
        <w:t xml:space="preserve"> people through </w:t>
      </w:r>
      <w:r w:rsidR="005057DC">
        <w:t xml:space="preserve">development and </w:t>
      </w:r>
      <w:r w:rsidR="00B17AE8">
        <w:t xml:space="preserve">construction </w:t>
      </w:r>
      <w:r w:rsidR="00417587">
        <w:t xml:space="preserve">phases </w:t>
      </w:r>
      <w:r w:rsidR="009F099F">
        <w:t>over the next two years</w:t>
      </w:r>
      <w:r w:rsidR="005057DC">
        <w:t>,</w:t>
      </w:r>
      <w:r w:rsidR="009F099F">
        <w:t xml:space="preserve"> </w:t>
      </w:r>
      <w:r w:rsidR="00B17AE8">
        <w:t xml:space="preserve">and </w:t>
      </w:r>
      <w:r w:rsidR="005057DC">
        <w:t>three</w:t>
      </w:r>
      <w:r w:rsidR="00B17AE8">
        <w:t xml:space="preserve"> </w:t>
      </w:r>
      <w:r w:rsidR="005057DC">
        <w:t xml:space="preserve">jobs </w:t>
      </w:r>
      <w:r w:rsidR="002A54E7">
        <w:t>once in operation</w:t>
      </w:r>
      <w:r w:rsidR="00454140">
        <w:t xml:space="preserve"> (though </w:t>
      </w:r>
      <w:r w:rsidR="00232803">
        <w:t>it claims it will help safeguard</w:t>
      </w:r>
      <w:r w:rsidR="0010666F">
        <w:t xml:space="preserve"> 24</w:t>
      </w:r>
      <w:r w:rsidR="00232803">
        <w:t>7</w:t>
      </w:r>
      <w:r w:rsidR="0010666F">
        <w:t xml:space="preserve"> </w:t>
      </w:r>
      <w:r w:rsidR="00BB3743">
        <w:t>existing jobs that might otherwise be threatened by decarbonisation)</w:t>
      </w:r>
      <w:r w:rsidR="002A54E7">
        <w:t xml:space="preserve">. </w:t>
      </w:r>
      <w:r w:rsidR="00041F1F">
        <w:t>Other developments include the installation of a biomass boiler at Iggesund Paperboard in Workington</w:t>
      </w:r>
      <w:r w:rsidR="00E521EB">
        <w:t xml:space="preserve">, as well as a handful of onshore wind, battery and solar PV projects. </w:t>
      </w:r>
    </w:p>
    <w:p w14:paraId="2C31A27C" w14:textId="52B1986D" w:rsidR="00E521EB" w:rsidRDefault="0077168C" w:rsidP="0034243B">
      <w:r>
        <w:t xml:space="preserve">A separate list of key projects, provided by ECITB, </w:t>
      </w:r>
      <w:r w:rsidR="00155B9C">
        <w:t>highlights key developments that are in the pipeline at varying stages of readiness, as shown in the table below:</w:t>
      </w:r>
    </w:p>
    <w:p w14:paraId="28D23235" w14:textId="56142358" w:rsidR="007A699A" w:rsidRPr="00E30E04" w:rsidRDefault="007A699A" w:rsidP="007A699A">
      <w:pPr>
        <w:spacing w:after="0"/>
        <w:rPr>
          <w:b/>
          <w:bCs/>
          <w:sz w:val="20"/>
          <w:szCs w:val="20"/>
        </w:rPr>
      </w:pPr>
      <w:r w:rsidRPr="00E30E04">
        <w:rPr>
          <w:b/>
          <w:bCs/>
          <w:sz w:val="20"/>
          <w:szCs w:val="20"/>
        </w:rPr>
        <w:t xml:space="preserve">Figure </w:t>
      </w:r>
      <w:r w:rsidR="007D2BE3">
        <w:rPr>
          <w:b/>
          <w:bCs/>
          <w:sz w:val="20"/>
          <w:szCs w:val="20"/>
        </w:rPr>
        <w:t>5</w:t>
      </w:r>
      <w:r w:rsidRPr="00E30E04">
        <w:rPr>
          <w:b/>
          <w:bCs/>
          <w:sz w:val="20"/>
          <w:szCs w:val="20"/>
        </w:rPr>
        <w:t>: ECITB project list - Cumbria</w:t>
      </w:r>
    </w:p>
    <w:tbl>
      <w:tblPr>
        <w:tblW w:w="5000" w:type="pct"/>
        <w:tblCellMar>
          <w:left w:w="28" w:type="dxa"/>
          <w:right w:w="28" w:type="dxa"/>
        </w:tblCellMar>
        <w:tblLook w:val="0420" w:firstRow="1" w:lastRow="0" w:firstColumn="0" w:lastColumn="0" w:noHBand="0" w:noVBand="1"/>
      </w:tblPr>
      <w:tblGrid>
        <w:gridCol w:w="1457"/>
        <w:gridCol w:w="1001"/>
        <w:gridCol w:w="1455"/>
        <w:gridCol w:w="1945"/>
        <w:gridCol w:w="1078"/>
        <w:gridCol w:w="1045"/>
        <w:gridCol w:w="563"/>
        <w:gridCol w:w="462"/>
      </w:tblGrid>
      <w:tr w:rsidR="003D7FBF" w:rsidRPr="003D7FBF" w14:paraId="701727CC" w14:textId="4209AB31" w:rsidTr="00E30E04">
        <w:trPr>
          <w:trHeight w:val="617"/>
        </w:trPr>
        <w:tc>
          <w:tcPr>
            <w:tcW w:w="718"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634AEF9A" w14:textId="67753FD2"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Project Name</w:t>
            </w:r>
          </w:p>
        </w:tc>
        <w:tc>
          <w:tcPr>
            <w:tcW w:w="500"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4CD6CB6C" w14:textId="181E3F8C"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Sector</w:t>
            </w:r>
          </w:p>
        </w:tc>
        <w:tc>
          <w:tcPr>
            <w:tcW w:w="881"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6746DE53" w14:textId="5B7892AF"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Operator</w:t>
            </w:r>
          </w:p>
        </w:tc>
        <w:tc>
          <w:tcPr>
            <w:tcW w:w="1153"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24CC0C2B" w14:textId="3BA01F96"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Project Type</w:t>
            </w:r>
          </w:p>
        </w:tc>
        <w:tc>
          <w:tcPr>
            <w:tcW w:w="671"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42FB8452" w14:textId="08E8996F"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Stage</w:t>
            </w:r>
          </w:p>
        </w:tc>
        <w:tc>
          <w:tcPr>
            <w:tcW w:w="653" w:type="pct"/>
            <w:tcBorders>
              <w:top w:val="single" w:sz="8" w:space="0" w:color="FFFFFF"/>
              <w:left w:val="single" w:sz="8" w:space="0" w:color="FFFFFF"/>
              <w:bottom w:val="single" w:sz="24" w:space="0" w:color="FFFFFF"/>
              <w:right w:val="single" w:sz="8" w:space="0" w:color="FFFFFF"/>
            </w:tcBorders>
            <w:shd w:val="clear" w:color="auto" w:fill="25C6FE"/>
            <w:tcMar>
              <w:top w:w="72" w:type="dxa"/>
              <w:left w:w="144" w:type="dxa"/>
              <w:bottom w:w="72" w:type="dxa"/>
              <w:right w:w="144" w:type="dxa"/>
            </w:tcMar>
            <w:vAlign w:val="center"/>
          </w:tcPr>
          <w:p w14:paraId="46100831" w14:textId="5E52E5EE" w:rsidR="00660371" w:rsidRPr="001D4B17" w:rsidRDefault="00660371" w:rsidP="003D7FBF">
            <w:pPr>
              <w:spacing w:after="0" w:line="240" w:lineRule="auto"/>
              <w:rPr>
                <w:rFonts w:eastAsia="Times New Roman" w:cstheme="minorHAnsi"/>
                <w:b/>
                <w:bCs/>
                <w:color w:val="FFFFFF" w:themeColor="background1"/>
                <w:kern w:val="0"/>
                <w:sz w:val="20"/>
                <w:szCs w:val="20"/>
                <w:lang w:eastAsia="en-GB"/>
                <w14:ligatures w14:val="none"/>
              </w:rPr>
            </w:pPr>
            <w:r w:rsidRPr="003D7FBF">
              <w:rPr>
                <w:rFonts w:eastAsia="Calibri" w:cstheme="minorHAnsi"/>
                <w:b/>
                <w:bCs/>
                <w:color w:val="FFFFFF" w:themeColor="background1"/>
                <w:kern w:val="24"/>
                <w:sz w:val="20"/>
                <w:szCs w:val="20"/>
              </w:rPr>
              <w:t>Project Status</w:t>
            </w:r>
          </w:p>
        </w:tc>
        <w:tc>
          <w:tcPr>
            <w:tcW w:w="238" w:type="pct"/>
            <w:tcBorders>
              <w:top w:val="single" w:sz="8" w:space="0" w:color="FFFFFF"/>
              <w:left w:val="single" w:sz="8" w:space="0" w:color="FFFFFF"/>
              <w:bottom w:val="single" w:sz="24" w:space="0" w:color="FFFFFF"/>
              <w:right w:val="single" w:sz="8" w:space="0" w:color="FFFFFF"/>
            </w:tcBorders>
            <w:shd w:val="clear" w:color="auto" w:fill="25C6FE"/>
            <w:vAlign w:val="center"/>
          </w:tcPr>
          <w:p w14:paraId="76678BA4" w14:textId="2D4BB48D" w:rsidR="00660371" w:rsidRPr="003D7FBF" w:rsidRDefault="00660371" w:rsidP="003D7FBF">
            <w:pPr>
              <w:spacing w:after="0" w:line="240" w:lineRule="auto"/>
              <w:rPr>
                <w:rFonts w:eastAsia="Calibri" w:cstheme="minorHAnsi"/>
                <w:b/>
                <w:bCs/>
                <w:color w:val="FFFFFF" w:themeColor="background1"/>
                <w:kern w:val="24"/>
                <w:sz w:val="20"/>
                <w:szCs w:val="20"/>
                <w:lang w:eastAsia="en-GB"/>
                <w14:ligatures w14:val="none"/>
              </w:rPr>
            </w:pPr>
            <w:r w:rsidRPr="003D7FBF">
              <w:rPr>
                <w:rFonts w:eastAsia="Calibri" w:cstheme="minorHAnsi"/>
                <w:b/>
                <w:bCs/>
                <w:color w:val="FFFFFF" w:themeColor="background1"/>
                <w:kern w:val="24"/>
                <w:sz w:val="20"/>
                <w:szCs w:val="20"/>
              </w:rPr>
              <w:t>Value (£M)</w:t>
            </w:r>
          </w:p>
        </w:tc>
        <w:tc>
          <w:tcPr>
            <w:tcW w:w="186" w:type="pct"/>
            <w:tcBorders>
              <w:top w:val="single" w:sz="8" w:space="0" w:color="FFFFFF"/>
              <w:left w:val="single" w:sz="8" w:space="0" w:color="FFFFFF"/>
              <w:bottom w:val="single" w:sz="24" w:space="0" w:color="FFFFFF"/>
              <w:right w:val="single" w:sz="8" w:space="0" w:color="FFFFFF"/>
            </w:tcBorders>
            <w:shd w:val="clear" w:color="auto" w:fill="25C6FE"/>
            <w:vAlign w:val="center"/>
          </w:tcPr>
          <w:p w14:paraId="07F947A7" w14:textId="4C5A5DF0" w:rsidR="00660371" w:rsidRPr="003D7FBF" w:rsidRDefault="00660371" w:rsidP="003D7FBF">
            <w:pPr>
              <w:spacing w:after="0" w:line="240" w:lineRule="auto"/>
              <w:rPr>
                <w:rFonts w:eastAsia="Calibri" w:cstheme="minorHAnsi"/>
                <w:b/>
                <w:bCs/>
                <w:color w:val="FFFFFF" w:themeColor="background1"/>
                <w:kern w:val="24"/>
                <w:sz w:val="20"/>
                <w:szCs w:val="20"/>
                <w:lang w:eastAsia="en-GB"/>
                <w14:ligatures w14:val="none"/>
              </w:rPr>
            </w:pPr>
            <w:r w:rsidRPr="003D7FBF">
              <w:rPr>
                <w:rFonts w:eastAsia="Calibri" w:cstheme="minorHAnsi"/>
                <w:b/>
                <w:bCs/>
                <w:color w:val="FFFFFF" w:themeColor="background1"/>
                <w:kern w:val="24"/>
                <w:sz w:val="20"/>
                <w:szCs w:val="20"/>
              </w:rPr>
              <w:t>End year</w:t>
            </w:r>
          </w:p>
        </w:tc>
      </w:tr>
      <w:tr w:rsidR="003D7FBF" w:rsidRPr="003D7FBF" w14:paraId="75B7D13B" w14:textId="60725679" w:rsidTr="00E30E04">
        <w:trPr>
          <w:trHeight w:val="340"/>
        </w:trPr>
        <w:tc>
          <w:tcPr>
            <w:tcW w:w="718"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435EC1CF" w14:textId="7330A78A"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Sellafield Nuclear Decommissioning</w:t>
            </w:r>
          </w:p>
        </w:tc>
        <w:tc>
          <w:tcPr>
            <w:tcW w:w="500"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253DF00D" w14:textId="69615A83"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Nuclear</w:t>
            </w:r>
          </w:p>
        </w:tc>
        <w:tc>
          <w:tcPr>
            <w:tcW w:w="881"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542EF1FF" w14:textId="2ED43E83"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Sellafield Ltd.</w:t>
            </w:r>
          </w:p>
        </w:tc>
        <w:tc>
          <w:tcPr>
            <w:tcW w:w="1153"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2806A439" w14:textId="76636121"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Decommissioning</w:t>
            </w:r>
          </w:p>
        </w:tc>
        <w:tc>
          <w:tcPr>
            <w:tcW w:w="671"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21D6D75B" w14:textId="51401A1C"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EPRD</w:t>
            </w:r>
          </w:p>
        </w:tc>
        <w:tc>
          <w:tcPr>
            <w:tcW w:w="653" w:type="pct"/>
            <w:tcBorders>
              <w:top w:val="single" w:sz="24"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4A107DD3" w14:textId="61EB9B94"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Contract Awarded</w:t>
            </w:r>
          </w:p>
        </w:tc>
        <w:tc>
          <w:tcPr>
            <w:tcW w:w="238" w:type="pct"/>
            <w:tcBorders>
              <w:top w:val="single" w:sz="24" w:space="0" w:color="FFFFFF"/>
              <w:left w:val="single" w:sz="8" w:space="0" w:color="FFFFFF"/>
              <w:bottom w:val="single" w:sz="8" w:space="0" w:color="FFFFFF"/>
              <w:right w:val="single" w:sz="8" w:space="0" w:color="FFFFFF"/>
            </w:tcBorders>
            <w:shd w:val="clear" w:color="auto" w:fill="CDEAFF"/>
            <w:vAlign w:val="center"/>
          </w:tcPr>
          <w:p w14:paraId="3DB92683" w14:textId="635076C4"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63600</w:t>
            </w:r>
          </w:p>
        </w:tc>
        <w:tc>
          <w:tcPr>
            <w:tcW w:w="186" w:type="pct"/>
            <w:tcBorders>
              <w:top w:val="single" w:sz="24" w:space="0" w:color="FFFFFF"/>
              <w:left w:val="single" w:sz="8" w:space="0" w:color="FFFFFF"/>
              <w:bottom w:val="single" w:sz="8" w:space="0" w:color="FFFFFF"/>
              <w:right w:val="single" w:sz="8" w:space="0" w:color="FFFFFF"/>
            </w:tcBorders>
            <w:shd w:val="clear" w:color="auto" w:fill="CDEAFF"/>
            <w:vAlign w:val="center"/>
          </w:tcPr>
          <w:p w14:paraId="1D6C37C7" w14:textId="20E924D5"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2120</w:t>
            </w:r>
          </w:p>
        </w:tc>
      </w:tr>
      <w:tr w:rsidR="003D7FBF" w:rsidRPr="003D7FBF" w14:paraId="55B83D55" w14:textId="5089471C"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7E2AC83" w14:textId="2C985A89"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Rolls Royce Small Modular Reactor Hub</w:t>
            </w:r>
          </w:p>
        </w:tc>
        <w:tc>
          <w:tcPr>
            <w:tcW w:w="50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3E00DC9B" w14:textId="56DA300D"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Nuclear</w:t>
            </w:r>
          </w:p>
        </w:tc>
        <w:tc>
          <w:tcPr>
            <w:tcW w:w="88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421BF6EE" w14:textId="1F6EE2A3"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Rolls-Royce</w:t>
            </w:r>
          </w:p>
        </w:tc>
        <w:tc>
          <w:tcPr>
            <w:tcW w:w="11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45DCF362" w14:textId="5D921544"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New Build</w:t>
            </w:r>
          </w:p>
        </w:tc>
        <w:tc>
          <w:tcPr>
            <w:tcW w:w="67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4871D828" w14:textId="23369145"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FEED</w:t>
            </w:r>
          </w:p>
        </w:tc>
        <w:tc>
          <w:tcPr>
            <w:tcW w:w="6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527E6367" w14:textId="26BC72A1"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Contract Awarded</w:t>
            </w:r>
          </w:p>
        </w:tc>
        <w:tc>
          <w:tcPr>
            <w:tcW w:w="238"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347C58A6" w14:textId="2B36BAE0"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400</w:t>
            </w:r>
          </w:p>
        </w:tc>
        <w:tc>
          <w:tcPr>
            <w:tcW w:w="186"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3D79DB48" w14:textId="6DABDF64"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2029</w:t>
            </w:r>
          </w:p>
        </w:tc>
      </w:tr>
      <w:tr w:rsidR="003D7FBF" w:rsidRPr="003D7FBF" w14:paraId="04F0F132" w14:textId="50FFA237"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1815DAB2" w14:textId="6BD607E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Barrow Green Hydrogen Hub</w:t>
            </w:r>
          </w:p>
        </w:tc>
        <w:tc>
          <w:tcPr>
            <w:tcW w:w="50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197398F6" w14:textId="0B72421C"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Hydrogen</w:t>
            </w:r>
          </w:p>
        </w:tc>
        <w:tc>
          <w:tcPr>
            <w:tcW w:w="88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02BFD4FC" w14:textId="7BF93FC8"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Carlton Power</w:t>
            </w:r>
          </w:p>
        </w:tc>
        <w:tc>
          <w:tcPr>
            <w:tcW w:w="11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145A8331" w14:textId="4846A94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Green</w:t>
            </w:r>
          </w:p>
        </w:tc>
        <w:tc>
          <w:tcPr>
            <w:tcW w:w="67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6F67B8C1" w14:textId="7F6FC985"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Feasibility</w:t>
            </w:r>
          </w:p>
        </w:tc>
        <w:tc>
          <w:tcPr>
            <w:tcW w:w="6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7927BFAB" w14:textId="72338F3D" w:rsidR="003D7FBF" w:rsidRPr="001D4B17" w:rsidRDefault="00AA3942" w:rsidP="003D7FBF">
            <w:pPr>
              <w:spacing w:after="0" w:line="240" w:lineRule="auto"/>
              <w:textAlignment w:val="bottom"/>
              <w:rPr>
                <w:rFonts w:eastAsia="Times New Roman" w:cstheme="minorHAnsi"/>
                <w:kern w:val="0"/>
                <w:sz w:val="20"/>
                <w:szCs w:val="20"/>
                <w:lang w:eastAsia="en-GB"/>
                <w14:ligatures w14:val="none"/>
              </w:rPr>
            </w:pPr>
            <w:r>
              <w:rPr>
                <w:rFonts w:eastAsia="Calibri" w:cstheme="minorHAnsi"/>
                <w:kern w:val="24"/>
                <w:sz w:val="20"/>
                <w:szCs w:val="20"/>
              </w:rPr>
              <w:t>Authority Approved</w:t>
            </w:r>
          </w:p>
        </w:tc>
        <w:tc>
          <w:tcPr>
            <w:tcW w:w="238"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19296319" w14:textId="75A5EC1F"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120</w:t>
            </w:r>
          </w:p>
        </w:tc>
        <w:tc>
          <w:tcPr>
            <w:tcW w:w="186"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79FF012D" w14:textId="79605792"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2025</w:t>
            </w:r>
          </w:p>
        </w:tc>
      </w:tr>
      <w:tr w:rsidR="003D7FBF" w:rsidRPr="003D7FBF" w14:paraId="5AF05569" w14:textId="31491E24"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A61B833" w14:textId="0CFAAD86"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 xml:space="preserve">Energy from Waste </w:t>
            </w:r>
            <w:proofErr w:type="spellStart"/>
            <w:r w:rsidRPr="003D7FBF">
              <w:rPr>
                <w:rFonts w:eastAsia="Calibri" w:cstheme="minorHAnsi"/>
                <w:kern w:val="24"/>
                <w:sz w:val="20"/>
                <w:szCs w:val="20"/>
              </w:rPr>
              <w:t>Kingmoor</w:t>
            </w:r>
            <w:proofErr w:type="spellEnd"/>
            <w:r w:rsidRPr="003D7FBF">
              <w:rPr>
                <w:rFonts w:eastAsia="Calibri" w:cstheme="minorHAnsi"/>
                <w:kern w:val="24"/>
                <w:sz w:val="20"/>
                <w:szCs w:val="20"/>
              </w:rPr>
              <w:t xml:space="preserve"> Park</w:t>
            </w:r>
          </w:p>
        </w:tc>
        <w:tc>
          <w:tcPr>
            <w:tcW w:w="50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01E43660" w14:textId="395EE86A"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Renewables</w:t>
            </w:r>
          </w:p>
        </w:tc>
        <w:tc>
          <w:tcPr>
            <w:tcW w:w="88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B06BD0B" w14:textId="2410E12E"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Verus Energy Ltd</w:t>
            </w:r>
          </w:p>
        </w:tc>
        <w:tc>
          <w:tcPr>
            <w:tcW w:w="11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3C8F235E" w14:textId="59D9890C"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Energy from Waste</w:t>
            </w:r>
          </w:p>
        </w:tc>
        <w:tc>
          <w:tcPr>
            <w:tcW w:w="67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5A4CABDB" w14:textId="7E930220"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Feasibility</w:t>
            </w:r>
          </w:p>
        </w:tc>
        <w:tc>
          <w:tcPr>
            <w:tcW w:w="6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4A69E12D" w14:textId="0B28AEAF"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Authority Approved</w:t>
            </w:r>
          </w:p>
        </w:tc>
        <w:tc>
          <w:tcPr>
            <w:tcW w:w="238"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7801EB2B" w14:textId="000C750D"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92.8</w:t>
            </w:r>
          </w:p>
        </w:tc>
        <w:tc>
          <w:tcPr>
            <w:tcW w:w="186"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5D1619AD" w14:textId="78F334AF"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2025</w:t>
            </w:r>
          </w:p>
        </w:tc>
      </w:tr>
      <w:tr w:rsidR="003D7FBF" w:rsidRPr="003D7FBF" w14:paraId="266C5164" w14:textId="776D8DC6"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510983B8" w14:textId="07DF9792"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Energy from Waste Carlisle (</w:t>
            </w:r>
            <w:proofErr w:type="spellStart"/>
            <w:r w:rsidRPr="003D7FBF">
              <w:rPr>
                <w:rFonts w:eastAsia="Calibri" w:cstheme="minorHAnsi"/>
                <w:kern w:val="24"/>
                <w:sz w:val="20"/>
                <w:szCs w:val="20"/>
              </w:rPr>
              <w:t>Todhills</w:t>
            </w:r>
            <w:proofErr w:type="spellEnd"/>
            <w:r w:rsidRPr="003D7FBF">
              <w:rPr>
                <w:rFonts w:eastAsia="Calibri" w:cstheme="minorHAnsi"/>
                <w:kern w:val="24"/>
                <w:sz w:val="20"/>
                <w:szCs w:val="20"/>
              </w:rPr>
              <w:t>)</w:t>
            </w:r>
          </w:p>
        </w:tc>
        <w:tc>
          <w:tcPr>
            <w:tcW w:w="50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750F1D3B" w14:textId="090705D9"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Renewables</w:t>
            </w:r>
          </w:p>
        </w:tc>
        <w:tc>
          <w:tcPr>
            <w:tcW w:w="88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5FE15625" w14:textId="369B6F90"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Cumbria Waste Management</w:t>
            </w:r>
          </w:p>
        </w:tc>
        <w:tc>
          <w:tcPr>
            <w:tcW w:w="11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62B2B111" w14:textId="096B734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Energy from Waste</w:t>
            </w:r>
          </w:p>
        </w:tc>
        <w:tc>
          <w:tcPr>
            <w:tcW w:w="67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7C3FBB07" w14:textId="68C58DE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Feasibility</w:t>
            </w:r>
          </w:p>
        </w:tc>
        <w:tc>
          <w:tcPr>
            <w:tcW w:w="6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33F7044A" w14:textId="32C23077"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Authority Approved</w:t>
            </w:r>
          </w:p>
        </w:tc>
        <w:tc>
          <w:tcPr>
            <w:tcW w:w="238"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37A95FAD" w14:textId="253909ED"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64</w:t>
            </w:r>
          </w:p>
        </w:tc>
        <w:tc>
          <w:tcPr>
            <w:tcW w:w="186"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40E4CE34" w14:textId="183E7D07"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2024</w:t>
            </w:r>
          </w:p>
        </w:tc>
      </w:tr>
      <w:tr w:rsidR="003D7FBF" w:rsidRPr="003D7FBF" w14:paraId="4B9D416C" w14:textId="5DBCD11B"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47B403F" w14:textId="27C65DC2"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Battery Storage Facility Carlisle</w:t>
            </w:r>
          </w:p>
        </w:tc>
        <w:tc>
          <w:tcPr>
            <w:tcW w:w="500"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75C7F57" w14:textId="6D78196A"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Energy Storage</w:t>
            </w:r>
          </w:p>
        </w:tc>
        <w:tc>
          <w:tcPr>
            <w:tcW w:w="88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228DE6E7" w14:textId="0413B697"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Pivot Power</w:t>
            </w:r>
          </w:p>
        </w:tc>
        <w:tc>
          <w:tcPr>
            <w:tcW w:w="11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38DFEB88" w14:textId="7A32C73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Battery</w:t>
            </w:r>
          </w:p>
        </w:tc>
        <w:tc>
          <w:tcPr>
            <w:tcW w:w="671"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015BA26B" w14:textId="7DE259CB"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Feasibility</w:t>
            </w:r>
          </w:p>
        </w:tc>
        <w:tc>
          <w:tcPr>
            <w:tcW w:w="653" w:type="pct"/>
            <w:tcBorders>
              <w:top w:val="single" w:sz="8" w:space="0" w:color="FFFFFF"/>
              <w:left w:val="single" w:sz="8" w:space="0" w:color="FFFFFF"/>
              <w:bottom w:val="single" w:sz="8" w:space="0" w:color="FFFFFF"/>
              <w:right w:val="single" w:sz="8" w:space="0" w:color="FFFFFF"/>
            </w:tcBorders>
            <w:shd w:val="clear" w:color="auto" w:fill="E8F5FF"/>
            <w:tcMar>
              <w:top w:w="10" w:type="dxa"/>
              <w:left w:w="10" w:type="dxa"/>
              <w:bottom w:w="0" w:type="dxa"/>
              <w:right w:w="10" w:type="dxa"/>
            </w:tcMar>
            <w:vAlign w:val="center"/>
          </w:tcPr>
          <w:p w14:paraId="33728677" w14:textId="5ECA043E"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Authority Approved</w:t>
            </w:r>
          </w:p>
        </w:tc>
        <w:tc>
          <w:tcPr>
            <w:tcW w:w="238"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5B6F7722" w14:textId="304F244D"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32</w:t>
            </w:r>
          </w:p>
        </w:tc>
        <w:tc>
          <w:tcPr>
            <w:tcW w:w="186" w:type="pct"/>
            <w:tcBorders>
              <w:top w:val="single" w:sz="8" w:space="0" w:color="FFFFFF"/>
              <w:left w:val="single" w:sz="8" w:space="0" w:color="FFFFFF"/>
              <w:bottom w:val="single" w:sz="8" w:space="0" w:color="FFFFFF"/>
              <w:right w:val="single" w:sz="8" w:space="0" w:color="FFFFFF"/>
            </w:tcBorders>
            <w:shd w:val="clear" w:color="auto" w:fill="E8F5FF"/>
            <w:vAlign w:val="center"/>
          </w:tcPr>
          <w:p w14:paraId="2FAEEEBF" w14:textId="67305EA2"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2023</w:t>
            </w:r>
          </w:p>
        </w:tc>
      </w:tr>
      <w:tr w:rsidR="003D7FBF" w:rsidRPr="003D7FBF" w14:paraId="4820564A" w14:textId="14C484E2" w:rsidTr="00E30E04">
        <w:trPr>
          <w:trHeight w:val="340"/>
        </w:trPr>
        <w:tc>
          <w:tcPr>
            <w:tcW w:w="718"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6AE3A86E" w14:textId="0007AB48"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High Park Foot Solar Farm</w:t>
            </w:r>
          </w:p>
        </w:tc>
        <w:tc>
          <w:tcPr>
            <w:tcW w:w="500"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3AC1848A" w14:textId="3373F191"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Renewables</w:t>
            </w:r>
          </w:p>
        </w:tc>
        <w:tc>
          <w:tcPr>
            <w:tcW w:w="88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2D067049" w14:textId="03507914"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Elgin Energy</w:t>
            </w:r>
          </w:p>
        </w:tc>
        <w:tc>
          <w:tcPr>
            <w:tcW w:w="11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6B0E654D" w14:textId="09120B1D"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Solar – PV</w:t>
            </w:r>
          </w:p>
        </w:tc>
        <w:tc>
          <w:tcPr>
            <w:tcW w:w="671"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22513170" w14:textId="6F9BB063"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FEED</w:t>
            </w:r>
          </w:p>
        </w:tc>
        <w:tc>
          <w:tcPr>
            <w:tcW w:w="653" w:type="pct"/>
            <w:tcBorders>
              <w:top w:val="single" w:sz="8" w:space="0" w:color="FFFFFF"/>
              <w:left w:val="single" w:sz="8" w:space="0" w:color="FFFFFF"/>
              <w:bottom w:val="single" w:sz="8" w:space="0" w:color="FFFFFF"/>
              <w:right w:val="single" w:sz="8" w:space="0" w:color="FFFFFF"/>
            </w:tcBorders>
            <w:shd w:val="clear" w:color="auto" w:fill="CDEAFF"/>
            <w:tcMar>
              <w:top w:w="10" w:type="dxa"/>
              <w:left w:w="10" w:type="dxa"/>
              <w:bottom w:w="0" w:type="dxa"/>
              <w:right w:w="10" w:type="dxa"/>
            </w:tcMar>
            <w:vAlign w:val="center"/>
          </w:tcPr>
          <w:p w14:paraId="1FE24FE9" w14:textId="0711B583" w:rsidR="003D7FBF" w:rsidRPr="001D4B17"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Authority Approved</w:t>
            </w:r>
          </w:p>
        </w:tc>
        <w:tc>
          <w:tcPr>
            <w:tcW w:w="238"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0055E26E" w14:textId="45AB63B0"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16</w:t>
            </w:r>
          </w:p>
        </w:tc>
        <w:tc>
          <w:tcPr>
            <w:tcW w:w="186" w:type="pct"/>
            <w:tcBorders>
              <w:top w:val="single" w:sz="8" w:space="0" w:color="FFFFFF"/>
              <w:left w:val="single" w:sz="8" w:space="0" w:color="FFFFFF"/>
              <w:bottom w:val="single" w:sz="8" w:space="0" w:color="FFFFFF"/>
              <w:right w:val="single" w:sz="8" w:space="0" w:color="FFFFFF"/>
            </w:tcBorders>
            <w:shd w:val="clear" w:color="auto" w:fill="CDEAFF"/>
            <w:vAlign w:val="center"/>
          </w:tcPr>
          <w:p w14:paraId="522A8D98" w14:textId="5B1C33EC" w:rsidR="003D7FBF" w:rsidRPr="003D7FBF" w:rsidRDefault="003D7FBF" w:rsidP="003D7FBF">
            <w:pPr>
              <w:spacing w:after="0" w:line="240" w:lineRule="auto"/>
              <w:textAlignment w:val="bottom"/>
              <w:rPr>
                <w:rFonts w:eastAsia="Times New Roman" w:cstheme="minorHAnsi"/>
                <w:kern w:val="0"/>
                <w:sz w:val="20"/>
                <w:szCs w:val="20"/>
                <w:lang w:eastAsia="en-GB"/>
                <w14:ligatures w14:val="none"/>
              </w:rPr>
            </w:pPr>
            <w:r w:rsidRPr="003D7FBF">
              <w:rPr>
                <w:rFonts w:eastAsia="Calibri" w:cstheme="minorHAnsi"/>
                <w:kern w:val="24"/>
                <w:sz w:val="20"/>
                <w:szCs w:val="20"/>
              </w:rPr>
              <w:t>2024</w:t>
            </w:r>
          </w:p>
        </w:tc>
      </w:tr>
    </w:tbl>
    <w:p w14:paraId="057A67E7" w14:textId="77777777" w:rsidR="00155B9C" w:rsidRDefault="00155B9C" w:rsidP="007A699A">
      <w:pPr>
        <w:spacing w:after="0"/>
      </w:pPr>
    </w:p>
    <w:p w14:paraId="1E5951A3" w14:textId="31266DFA" w:rsidR="007A699A" w:rsidRDefault="007A699A" w:rsidP="0034243B">
      <w:r>
        <w:t>This list confirms the small number of clean energy projects that are currently in progress in Cumbria</w:t>
      </w:r>
      <w:r w:rsidR="00E30E04">
        <w:t>, the largest of which is the SMR development with Solway Community Power Company and Rolls Royce</w:t>
      </w:r>
      <w:r w:rsidR="0036528A">
        <w:t xml:space="preserve"> (at the front end engineering design – FEED – stage)</w:t>
      </w:r>
      <w:r w:rsidR="00E30E04">
        <w:t xml:space="preserve">, followed by the Carlton Power plan </w:t>
      </w:r>
      <w:r w:rsidR="005406E2">
        <w:t xml:space="preserve">for hydrogen in Barrow, </w:t>
      </w:r>
      <w:r w:rsidR="00E30E04">
        <w:t xml:space="preserve">discussed above. </w:t>
      </w:r>
    </w:p>
    <w:p w14:paraId="21E45FC2" w14:textId="765E3724" w:rsidR="007A699A" w:rsidRDefault="00C5057F" w:rsidP="005406E2">
      <w:pPr>
        <w:pStyle w:val="Heading2"/>
      </w:pPr>
      <w:bookmarkStart w:id="14" w:name="_Toc135938263"/>
      <w:r>
        <w:t>4.3 Occupations and employment</w:t>
      </w:r>
      <w:bookmarkEnd w:id="14"/>
    </w:p>
    <w:p w14:paraId="1AA44C8F" w14:textId="79A954C2" w:rsidR="005406E2" w:rsidRDefault="005406E2" w:rsidP="0034243B">
      <w:r>
        <w:t xml:space="preserve">Owing to the small size of Cumbria’s labour market, </w:t>
      </w:r>
      <w:r w:rsidR="00E54173">
        <w:t xml:space="preserve">there is limited available ONS data showing the number of people working within key occupations in the county. </w:t>
      </w:r>
    </w:p>
    <w:p w14:paraId="6D54F75D" w14:textId="282C2B8A" w:rsidR="0087647F" w:rsidRDefault="003F4ADE" w:rsidP="0034243B">
      <w:r>
        <w:t xml:space="preserve">No data is available on the current clean energy workforce in Cumbria. The closest proxy available, outside of sub-sector specific estimates (such as in relation to nuclear) is via ONS data published in 2021, which provided </w:t>
      </w:r>
      <w:r w:rsidR="0087647F">
        <w:t>a breakdown of the number of residents within each NUTS3 location (East Cumbria and West Cumbria) working within each four-digit standard occupational code (SOC) role. The chart below shows the</w:t>
      </w:r>
      <w:r w:rsidR="00F00371">
        <w:t xml:space="preserve"> 71</w:t>
      </w:r>
      <w:r w:rsidR="0087647F">
        <w:t xml:space="preserve"> occupations </w:t>
      </w:r>
      <w:r w:rsidR="00F00371">
        <w:t xml:space="preserve">against which ONS was able to report the number of workers living in Cumbria (for most occupations the </w:t>
      </w:r>
      <w:r w:rsidR="00081A65">
        <w:t xml:space="preserve">data was considered too unreliable to publish). </w:t>
      </w:r>
      <w:r w:rsidR="00D26EE3">
        <w:t xml:space="preserve">Roles in engineering and manufacturing appear prominently in the chart </w:t>
      </w:r>
      <w:r w:rsidR="006E2E0A">
        <w:t>below</w:t>
      </w:r>
      <w:r w:rsidR="00D26EE3">
        <w:t>, reflecting the county’s strong industrial base within these sectors</w:t>
      </w:r>
      <w:r w:rsidR="00081A65">
        <w:t>:</w:t>
      </w:r>
    </w:p>
    <w:p w14:paraId="132BA987" w14:textId="6D496077" w:rsidR="00081A65" w:rsidRDefault="007069AF" w:rsidP="0034243B">
      <w:r>
        <w:rPr>
          <w:noProof/>
        </w:rPr>
        <w:drawing>
          <wp:inline distT="0" distB="0" distL="0" distR="0" wp14:anchorId="14B2509A" wp14:editId="62551215">
            <wp:extent cx="5029200" cy="2743200"/>
            <wp:effectExtent l="0" t="0" r="0" b="0"/>
            <wp:docPr id="16147917" name="Chart 1">
              <a:extLst xmlns:a="http://schemas.openxmlformats.org/drawingml/2006/main">
                <a:ext uri="{FF2B5EF4-FFF2-40B4-BE49-F238E27FC236}">
                  <a16:creationId xmlns:a16="http://schemas.microsoft.com/office/drawing/2014/main" id="{BE7D8AF3-F3F8-3BCF-6EF2-923DF0331D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DAD6F9" w14:textId="17B87C29" w:rsidR="00E05221" w:rsidRDefault="00D26EE3" w:rsidP="0034243B">
      <w:r>
        <w:t xml:space="preserve">As noted above, future labour demand scenarios are difficult to forecast with any degree of accuracy. </w:t>
      </w:r>
      <w:r w:rsidR="00AC6FD9">
        <w:t xml:space="preserve">Model-based estimates – such as the recent </w:t>
      </w:r>
      <w:r w:rsidR="00744E0D">
        <w:rPr>
          <w:i/>
          <w:iCs/>
        </w:rPr>
        <w:t>Skills Imperative 2035</w:t>
      </w:r>
      <w:r w:rsidR="006B4F78">
        <w:rPr>
          <w:rStyle w:val="FootnoteReference"/>
          <w:i/>
          <w:iCs/>
        </w:rPr>
        <w:footnoteReference w:id="22"/>
      </w:r>
      <w:r w:rsidR="00744E0D">
        <w:rPr>
          <w:i/>
          <w:iCs/>
        </w:rPr>
        <w:t xml:space="preserve"> </w:t>
      </w:r>
      <w:r w:rsidR="00744E0D">
        <w:t xml:space="preserve">release </w:t>
      </w:r>
      <w:r w:rsidR="004706D4">
        <w:t xml:space="preserve">by </w:t>
      </w:r>
      <w:r w:rsidR="00EA05CE">
        <w:t xml:space="preserve">Warwick Institute </w:t>
      </w:r>
      <w:r w:rsidR="00744E0D">
        <w:t xml:space="preserve">for Employment Research and Cambridge Econometrics in early 2023 </w:t>
      </w:r>
      <w:r w:rsidR="00AC6FD9">
        <w:t>– highlight the critical need for Cumbria to respond to high levels of replacement demand within key occupation</w:t>
      </w:r>
      <w:r w:rsidR="00A4038F">
        <w:t>al gr</w:t>
      </w:r>
      <w:r w:rsidR="00120446">
        <w:t>oups</w:t>
      </w:r>
      <w:r w:rsidR="00E05221">
        <w:t>, as shown in the chart below:</w:t>
      </w:r>
    </w:p>
    <w:p w14:paraId="6F784C81" w14:textId="77777777" w:rsidR="00120446" w:rsidRDefault="00A4038F" w:rsidP="0034243B">
      <w:r>
        <w:rPr>
          <w:noProof/>
        </w:rPr>
        <w:drawing>
          <wp:inline distT="0" distB="0" distL="0" distR="0" wp14:anchorId="6D6CB686" wp14:editId="718D64BA">
            <wp:extent cx="4572000" cy="2743200"/>
            <wp:effectExtent l="0" t="0" r="0" b="0"/>
            <wp:docPr id="1627247830" name="Chart 1">
              <a:extLst xmlns:a="http://schemas.openxmlformats.org/drawingml/2006/main">
                <a:ext uri="{FF2B5EF4-FFF2-40B4-BE49-F238E27FC236}">
                  <a16:creationId xmlns:a16="http://schemas.microsoft.com/office/drawing/2014/main" id="{E9B4CB46-1F4A-58A9-AC93-BC85EA23C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t xml:space="preserve"> </w:t>
      </w:r>
    </w:p>
    <w:p w14:paraId="47E33A1F" w14:textId="3A238B4F" w:rsidR="00BD3D1D" w:rsidRDefault="00120446" w:rsidP="0034243B">
      <w:r>
        <w:t xml:space="preserve">The LEP’s </w:t>
      </w:r>
      <w:r w:rsidR="00AC6FD9">
        <w:t>Local Skills Report</w:t>
      </w:r>
      <w:r w:rsidR="00E05221">
        <w:rPr>
          <w:rStyle w:val="FootnoteReference"/>
        </w:rPr>
        <w:footnoteReference w:id="23"/>
      </w:r>
      <w:r>
        <w:t xml:space="preserve"> </w:t>
      </w:r>
      <w:r w:rsidR="00242C2E">
        <w:t xml:space="preserve">highlights </w:t>
      </w:r>
      <w:r w:rsidR="004547EB">
        <w:t>long-standing</w:t>
      </w:r>
      <w:r w:rsidR="00242C2E">
        <w:t xml:space="preserve"> difficulties faced by employers in recruiting and retaining </w:t>
      </w:r>
      <w:r w:rsidR="004547EB">
        <w:t xml:space="preserve">key occupations such as electrical engineers, mechanical engineers and production managers. With rising replacement demand, employers and providers will have to work harder to fill the vacancies now being created – many of which are at </w:t>
      </w:r>
      <w:r w:rsidR="00EF41EB">
        <w:t xml:space="preserve">higher level in a </w:t>
      </w:r>
      <w:r w:rsidR="00D17DA1">
        <w:t>LEP area</w:t>
      </w:r>
      <w:r w:rsidR="00EF41EB">
        <w:t xml:space="preserve"> which is home to, as the LEP </w:t>
      </w:r>
      <w:r w:rsidR="00D17DA1">
        <w:t xml:space="preserve">itself </w:t>
      </w:r>
      <w:r w:rsidR="00EF41EB">
        <w:t>notes, the smallest pool of residents qualified to level 4+</w:t>
      </w:r>
      <w:r w:rsidR="00D17DA1">
        <w:t xml:space="preserve"> of any LEP area in the country. </w:t>
      </w:r>
    </w:p>
    <w:p w14:paraId="6B544FDD" w14:textId="7A1532B9" w:rsidR="0034243B" w:rsidRDefault="00D17DA1" w:rsidP="0034243B">
      <w:r>
        <w:t xml:space="preserve">The only detailed forecasting model </w:t>
      </w:r>
      <w:r w:rsidR="00532582">
        <w:t xml:space="preserve">that appears based in actual evidence of employer </w:t>
      </w:r>
      <w:r w:rsidR="00447DAC">
        <w:t xml:space="preserve">workforce recruitment and development (rather than </w:t>
      </w:r>
      <w:r w:rsidR="0087499E">
        <w:t xml:space="preserve">one-size-fits-all forecasts derived from national formulas) </w:t>
      </w:r>
      <w:r>
        <w:t xml:space="preserve">relates to nuclear energy. NSSG’s </w:t>
      </w:r>
      <w:r w:rsidRPr="00D17DA1">
        <w:rPr>
          <w:i/>
          <w:iCs/>
        </w:rPr>
        <w:t>Nuclear Workforce Assessment 2021</w:t>
      </w:r>
      <w:r>
        <w:t xml:space="preserve"> uses</w:t>
      </w:r>
      <w:r w:rsidR="00721BD5">
        <w:t xml:space="preserve"> a low/medium/high scenario for the pace and scale of nuclear developments in the UK</w:t>
      </w:r>
      <w:r w:rsidR="004413AB">
        <w:t xml:space="preserve"> (due to considerable uncertainty</w:t>
      </w:r>
      <w:r w:rsidR="00F314A8">
        <w:t xml:space="preserve"> about future </w:t>
      </w:r>
      <w:r w:rsidR="00532582">
        <w:t>plans</w:t>
      </w:r>
      <w:r w:rsidR="00F314A8">
        <w:t>)</w:t>
      </w:r>
      <w:r w:rsidR="00DE5E27">
        <w:t>, drawing on r</w:t>
      </w:r>
      <w:r w:rsidR="007B4AE3">
        <w:t xml:space="preserve">ecruitment and workforce </w:t>
      </w:r>
      <w:r w:rsidR="003419D2">
        <w:t>data supplied by a large number of nuclear employers</w:t>
      </w:r>
      <w:r w:rsidR="00DE5E27">
        <w:t xml:space="preserve"> to build model</w:t>
      </w:r>
      <w:r w:rsidR="00DF2DEC">
        <w:t>-</w:t>
      </w:r>
      <w:r w:rsidR="00DE5E27">
        <w:t>based projections for the UK. This states that</w:t>
      </w:r>
      <w:r w:rsidR="003419D2">
        <w:t>:</w:t>
      </w:r>
    </w:p>
    <w:p w14:paraId="5E1A8A37" w14:textId="71FAD39E" w:rsidR="00CF15AF" w:rsidRDefault="00F314A8" w:rsidP="00D37CC5">
      <w:pPr>
        <w:pStyle w:val="ListParagraph"/>
        <w:numPr>
          <w:ilvl w:val="0"/>
          <w:numId w:val="9"/>
        </w:numPr>
      </w:pPr>
      <w:r>
        <w:t>Even if a large civil nuclear new build programme were not to occur</w:t>
      </w:r>
      <w:r w:rsidR="006803B1">
        <w:t xml:space="preserve"> and taking account of declining total employer workforce demand</w:t>
      </w:r>
      <w:r>
        <w:t>, substantial replacement demand</w:t>
      </w:r>
      <w:r w:rsidR="00904AFA">
        <w:t xml:space="preserve"> still</w:t>
      </w:r>
      <w:r>
        <w:t xml:space="preserve"> exists for nuclear skills due to the sector’s ageing workforce</w:t>
      </w:r>
      <w:r w:rsidR="005F5917">
        <w:t xml:space="preserve"> (roughly half of those in the workforce in 2020 are expected to have </w:t>
      </w:r>
      <w:r w:rsidR="00877287">
        <w:t xml:space="preserve">left or retired by 2030). </w:t>
      </w:r>
    </w:p>
    <w:p w14:paraId="7F6B69A3" w14:textId="19772056" w:rsidR="00402E48" w:rsidRDefault="008B4DDD" w:rsidP="00D37CC5">
      <w:pPr>
        <w:pStyle w:val="ListParagraph"/>
        <w:numPr>
          <w:ilvl w:val="0"/>
          <w:numId w:val="9"/>
        </w:numPr>
      </w:pPr>
      <w:r>
        <w:t xml:space="preserve">It has not focused on the geographic distribution of nuclear skills needs </w:t>
      </w:r>
      <w:r w:rsidR="001F2F16">
        <w:t>owing to difficulties in predicting the location of future nuclear sites</w:t>
      </w:r>
      <w:r w:rsidR="00904AFA">
        <w:t xml:space="preserve"> – the estimates cover all of the UK</w:t>
      </w:r>
      <w:r w:rsidR="00232E78">
        <w:t xml:space="preserve"> (Cumbria accounts for about a third of the UK nuclear workforce)</w:t>
      </w:r>
      <w:r w:rsidR="001F2F16">
        <w:t xml:space="preserve">. </w:t>
      </w:r>
    </w:p>
    <w:p w14:paraId="61901984" w14:textId="08855EB9" w:rsidR="00497A36" w:rsidRDefault="00C10778" w:rsidP="00D37CC5">
      <w:pPr>
        <w:pStyle w:val="ListParagraph"/>
        <w:numPr>
          <w:ilvl w:val="0"/>
          <w:numId w:val="9"/>
        </w:numPr>
      </w:pPr>
      <w:r>
        <w:t>Current civil and defence nuclear facilities</w:t>
      </w:r>
      <w:r w:rsidR="00AD5E1C">
        <w:t xml:space="preserve"> currently</w:t>
      </w:r>
      <w:r>
        <w:t xml:space="preserve"> </w:t>
      </w:r>
      <w:r w:rsidR="00163BD0">
        <w:t>require around 3200 new recruits per annum</w:t>
      </w:r>
      <w:r w:rsidR="006A51BA">
        <w:t xml:space="preserve"> (inflow)</w:t>
      </w:r>
      <w:r w:rsidR="00163BD0">
        <w:t xml:space="preserve">, falling to around 2500 by 2030. </w:t>
      </w:r>
    </w:p>
    <w:p w14:paraId="326DAAE2" w14:textId="39C5E357" w:rsidR="00E81F9F" w:rsidRDefault="00E81F9F" w:rsidP="00E81F9F">
      <w:r>
        <w:t xml:space="preserve">Forecast UK demand under different growth scenarios are </w:t>
      </w:r>
      <w:r w:rsidR="00E87AE3">
        <w:t>set out in the table below:</w:t>
      </w:r>
    </w:p>
    <w:p w14:paraId="609D064F" w14:textId="5E2EBA0C" w:rsidR="00F53486" w:rsidRPr="00F53486" w:rsidRDefault="00F53486" w:rsidP="00E81F9F">
      <w:pPr>
        <w:rPr>
          <w:b/>
          <w:bCs/>
          <w:sz w:val="20"/>
          <w:szCs w:val="20"/>
        </w:rPr>
      </w:pPr>
      <w:r w:rsidRPr="00F53486">
        <w:rPr>
          <w:b/>
          <w:bCs/>
          <w:sz w:val="20"/>
          <w:szCs w:val="20"/>
        </w:rPr>
        <w:t>Figure 8: NSSG labour demand scenarios</w:t>
      </w:r>
    </w:p>
    <w:tbl>
      <w:tblPr>
        <w:tblStyle w:val="TableGrid"/>
        <w:tblW w:w="0" w:type="auto"/>
        <w:tblLook w:val="04A0" w:firstRow="1" w:lastRow="0" w:firstColumn="1" w:lastColumn="0" w:noHBand="0" w:noVBand="1"/>
      </w:tblPr>
      <w:tblGrid>
        <w:gridCol w:w="1874"/>
        <w:gridCol w:w="1451"/>
        <w:gridCol w:w="1551"/>
        <w:gridCol w:w="1380"/>
        <w:gridCol w:w="1380"/>
        <w:gridCol w:w="1380"/>
      </w:tblGrid>
      <w:tr w:rsidR="00E60D8A" w:rsidRPr="006A51BA" w14:paraId="7AA75652" w14:textId="1F1E8694" w:rsidTr="006A51BA">
        <w:tc>
          <w:tcPr>
            <w:tcW w:w="0" w:type="auto"/>
            <w:shd w:val="clear" w:color="auto" w:fill="BFBFBF" w:themeFill="background1" w:themeFillShade="BF"/>
          </w:tcPr>
          <w:p w14:paraId="786B492D" w14:textId="02AA91DE" w:rsidR="006A51BA" w:rsidRPr="006A51BA" w:rsidRDefault="006A51BA" w:rsidP="00E81F9F">
            <w:pPr>
              <w:rPr>
                <w:b/>
                <w:bCs/>
                <w:sz w:val="20"/>
                <w:szCs w:val="20"/>
              </w:rPr>
            </w:pPr>
            <w:r w:rsidRPr="006A51BA">
              <w:rPr>
                <w:b/>
                <w:bCs/>
                <w:sz w:val="20"/>
                <w:szCs w:val="20"/>
              </w:rPr>
              <w:t>Scenario and output</w:t>
            </w:r>
          </w:p>
        </w:tc>
        <w:tc>
          <w:tcPr>
            <w:tcW w:w="0" w:type="auto"/>
            <w:shd w:val="clear" w:color="auto" w:fill="BFBFBF" w:themeFill="background1" w:themeFillShade="BF"/>
          </w:tcPr>
          <w:p w14:paraId="46E343C6" w14:textId="63C180C5" w:rsidR="006A51BA" w:rsidRPr="006A51BA" w:rsidRDefault="006A51BA" w:rsidP="00E81F9F">
            <w:pPr>
              <w:rPr>
                <w:b/>
                <w:bCs/>
                <w:sz w:val="20"/>
                <w:szCs w:val="20"/>
              </w:rPr>
            </w:pPr>
            <w:r w:rsidRPr="006A51BA">
              <w:rPr>
                <w:b/>
                <w:bCs/>
                <w:sz w:val="20"/>
                <w:szCs w:val="20"/>
              </w:rPr>
              <w:t>Facilities</w:t>
            </w:r>
          </w:p>
        </w:tc>
        <w:tc>
          <w:tcPr>
            <w:tcW w:w="0" w:type="auto"/>
            <w:shd w:val="clear" w:color="auto" w:fill="BFBFBF" w:themeFill="background1" w:themeFillShade="BF"/>
          </w:tcPr>
          <w:p w14:paraId="17ABE9A9" w14:textId="38F3DC33" w:rsidR="006A51BA" w:rsidRPr="006A51BA" w:rsidRDefault="006A51BA" w:rsidP="00E81F9F">
            <w:pPr>
              <w:rPr>
                <w:b/>
                <w:bCs/>
                <w:sz w:val="20"/>
                <w:szCs w:val="20"/>
              </w:rPr>
            </w:pPr>
            <w:r w:rsidRPr="006A51BA">
              <w:rPr>
                <w:b/>
                <w:bCs/>
                <w:sz w:val="20"/>
                <w:szCs w:val="20"/>
              </w:rPr>
              <w:t xml:space="preserve">Total </w:t>
            </w:r>
            <w:r w:rsidR="007A2D0E">
              <w:rPr>
                <w:b/>
                <w:bCs/>
                <w:sz w:val="20"/>
                <w:szCs w:val="20"/>
              </w:rPr>
              <w:t xml:space="preserve">UK </w:t>
            </w:r>
            <w:r w:rsidRPr="006A51BA">
              <w:rPr>
                <w:b/>
                <w:bCs/>
                <w:sz w:val="20"/>
                <w:szCs w:val="20"/>
              </w:rPr>
              <w:t>workforce projection 2030-50</w:t>
            </w:r>
          </w:p>
        </w:tc>
        <w:tc>
          <w:tcPr>
            <w:tcW w:w="0" w:type="auto"/>
            <w:shd w:val="clear" w:color="auto" w:fill="BFBFBF" w:themeFill="background1" w:themeFillShade="BF"/>
          </w:tcPr>
          <w:p w14:paraId="392FACFF" w14:textId="3A2C10E6" w:rsidR="006A51BA" w:rsidRPr="006A51BA" w:rsidRDefault="006A51BA" w:rsidP="00E81F9F">
            <w:pPr>
              <w:rPr>
                <w:b/>
                <w:bCs/>
                <w:sz w:val="20"/>
                <w:szCs w:val="20"/>
              </w:rPr>
            </w:pPr>
            <w:r w:rsidRPr="006A51BA">
              <w:rPr>
                <w:b/>
                <w:bCs/>
                <w:sz w:val="20"/>
                <w:szCs w:val="20"/>
              </w:rPr>
              <w:t>Inflow (recruits) per annum 2025</w:t>
            </w:r>
          </w:p>
        </w:tc>
        <w:tc>
          <w:tcPr>
            <w:tcW w:w="0" w:type="auto"/>
            <w:shd w:val="clear" w:color="auto" w:fill="BFBFBF" w:themeFill="background1" w:themeFillShade="BF"/>
          </w:tcPr>
          <w:p w14:paraId="750C79BE" w14:textId="74F1C8FD" w:rsidR="006A51BA" w:rsidRPr="006A51BA" w:rsidRDefault="006A51BA" w:rsidP="00E81F9F">
            <w:pPr>
              <w:rPr>
                <w:b/>
                <w:bCs/>
                <w:sz w:val="20"/>
                <w:szCs w:val="20"/>
              </w:rPr>
            </w:pPr>
            <w:r w:rsidRPr="006A51BA">
              <w:rPr>
                <w:b/>
                <w:bCs/>
                <w:sz w:val="20"/>
                <w:szCs w:val="20"/>
              </w:rPr>
              <w:t>Inflow (recruits) per annum 2030</w:t>
            </w:r>
          </w:p>
        </w:tc>
        <w:tc>
          <w:tcPr>
            <w:tcW w:w="0" w:type="auto"/>
            <w:shd w:val="clear" w:color="auto" w:fill="BFBFBF" w:themeFill="background1" w:themeFillShade="BF"/>
          </w:tcPr>
          <w:p w14:paraId="711DA27F" w14:textId="0A9D85B0" w:rsidR="006A51BA" w:rsidRPr="006A51BA" w:rsidRDefault="006A51BA" w:rsidP="00E81F9F">
            <w:pPr>
              <w:rPr>
                <w:b/>
                <w:bCs/>
                <w:sz w:val="20"/>
                <w:szCs w:val="20"/>
              </w:rPr>
            </w:pPr>
            <w:r w:rsidRPr="006A51BA">
              <w:rPr>
                <w:b/>
                <w:bCs/>
                <w:sz w:val="20"/>
                <w:szCs w:val="20"/>
              </w:rPr>
              <w:t>Inflow (recruits) per annum 2050</w:t>
            </w:r>
          </w:p>
        </w:tc>
      </w:tr>
      <w:tr w:rsidR="00277A6B" w:rsidRPr="006A51BA" w14:paraId="72E02007" w14:textId="6B62DBCA" w:rsidTr="006A51BA">
        <w:tc>
          <w:tcPr>
            <w:tcW w:w="0" w:type="auto"/>
          </w:tcPr>
          <w:p w14:paraId="00A78200" w14:textId="72E8A7FE" w:rsidR="006A51BA" w:rsidRPr="006A51BA" w:rsidRDefault="006A51BA" w:rsidP="00E81F9F">
            <w:pPr>
              <w:rPr>
                <w:sz w:val="20"/>
                <w:szCs w:val="20"/>
              </w:rPr>
            </w:pPr>
            <w:r w:rsidRPr="00AD5E1C">
              <w:rPr>
                <w:b/>
                <w:bCs/>
                <w:sz w:val="20"/>
                <w:szCs w:val="20"/>
              </w:rPr>
              <w:t xml:space="preserve">High </w:t>
            </w:r>
            <w:r w:rsidR="008F5F5C" w:rsidRPr="00AD5E1C">
              <w:rPr>
                <w:b/>
                <w:bCs/>
                <w:sz w:val="20"/>
                <w:szCs w:val="20"/>
              </w:rPr>
              <w:t>scenario</w:t>
            </w:r>
            <w:r w:rsidRPr="006A51BA">
              <w:rPr>
                <w:sz w:val="20"/>
                <w:szCs w:val="20"/>
              </w:rPr>
              <w:t xml:space="preserve"> plus current (19</w:t>
            </w:r>
            <w:r w:rsidR="008F5F5C">
              <w:rPr>
                <w:sz w:val="20"/>
                <w:szCs w:val="20"/>
              </w:rPr>
              <w:t xml:space="preserve"> </w:t>
            </w:r>
            <w:proofErr w:type="spellStart"/>
            <w:r w:rsidRPr="006A51BA">
              <w:rPr>
                <w:sz w:val="20"/>
                <w:szCs w:val="20"/>
              </w:rPr>
              <w:t>GWe</w:t>
            </w:r>
            <w:proofErr w:type="spellEnd"/>
            <w:r w:rsidRPr="006A51BA">
              <w:rPr>
                <w:sz w:val="20"/>
                <w:szCs w:val="20"/>
              </w:rPr>
              <w:t xml:space="preserve"> </w:t>
            </w:r>
            <w:r w:rsidR="00E60D8A">
              <w:rPr>
                <w:sz w:val="20"/>
                <w:szCs w:val="20"/>
              </w:rPr>
              <w:t xml:space="preserve">of new capacity </w:t>
            </w:r>
            <w:r w:rsidRPr="006A51BA">
              <w:rPr>
                <w:sz w:val="20"/>
                <w:szCs w:val="20"/>
              </w:rPr>
              <w:t>by 205</w:t>
            </w:r>
            <w:r w:rsidR="00E60D8A">
              <w:rPr>
                <w:sz w:val="20"/>
                <w:szCs w:val="20"/>
              </w:rPr>
              <w:t>0</w:t>
            </w:r>
            <w:r w:rsidRPr="006A51BA">
              <w:rPr>
                <w:sz w:val="20"/>
                <w:szCs w:val="20"/>
              </w:rPr>
              <w:t>)</w:t>
            </w:r>
          </w:p>
        </w:tc>
        <w:tc>
          <w:tcPr>
            <w:tcW w:w="0" w:type="auto"/>
          </w:tcPr>
          <w:p w14:paraId="3532F75E" w14:textId="0CA759F2" w:rsidR="006A51BA" w:rsidRPr="006A51BA" w:rsidRDefault="006A51BA" w:rsidP="00E81F9F">
            <w:pPr>
              <w:rPr>
                <w:sz w:val="20"/>
                <w:szCs w:val="20"/>
              </w:rPr>
            </w:pPr>
            <w:r w:rsidRPr="006A51BA">
              <w:rPr>
                <w:sz w:val="20"/>
                <w:szCs w:val="20"/>
              </w:rPr>
              <w:t>3 gigawatt-scale reactors plus 22 SMRs</w:t>
            </w:r>
          </w:p>
        </w:tc>
        <w:tc>
          <w:tcPr>
            <w:tcW w:w="0" w:type="auto"/>
          </w:tcPr>
          <w:p w14:paraId="7F48A1EB" w14:textId="45FE38B2" w:rsidR="006A51BA" w:rsidRPr="006A51BA" w:rsidRDefault="00AA7808" w:rsidP="00E81F9F">
            <w:pPr>
              <w:rPr>
                <w:sz w:val="20"/>
                <w:szCs w:val="20"/>
              </w:rPr>
            </w:pPr>
            <w:r>
              <w:rPr>
                <w:sz w:val="20"/>
                <w:szCs w:val="20"/>
              </w:rPr>
              <w:t>c70,000</w:t>
            </w:r>
          </w:p>
        </w:tc>
        <w:tc>
          <w:tcPr>
            <w:tcW w:w="0" w:type="auto"/>
          </w:tcPr>
          <w:p w14:paraId="2078B8BC" w14:textId="741DC2C3" w:rsidR="006A51BA" w:rsidRPr="006A51BA" w:rsidRDefault="00EE0C60" w:rsidP="00E81F9F">
            <w:pPr>
              <w:rPr>
                <w:sz w:val="20"/>
                <w:szCs w:val="20"/>
              </w:rPr>
            </w:pPr>
            <w:r>
              <w:rPr>
                <w:sz w:val="20"/>
                <w:szCs w:val="20"/>
              </w:rPr>
              <w:t>7234</w:t>
            </w:r>
          </w:p>
        </w:tc>
        <w:tc>
          <w:tcPr>
            <w:tcW w:w="0" w:type="auto"/>
          </w:tcPr>
          <w:p w14:paraId="5253C602" w14:textId="2D6BC99F" w:rsidR="006A51BA" w:rsidRPr="006A51BA" w:rsidRDefault="00B27CF0" w:rsidP="00E81F9F">
            <w:pPr>
              <w:rPr>
                <w:sz w:val="20"/>
                <w:szCs w:val="20"/>
              </w:rPr>
            </w:pPr>
            <w:r>
              <w:rPr>
                <w:sz w:val="20"/>
                <w:szCs w:val="20"/>
              </w:rPr>
              <w:t>3670</w:t>
            </w:r>
          </w:p>
        </w:tc>
        <w:tc>
          <w:tcPr>
            <w:tcW w:w="0" w:type="auto"/>
          </w:tcPr>
          <w:p w14:paraId="4A96D20A" w14:textId="35038E3B" w:rsidR="006A51BA" w:rsidRPr="006A51BA" w:rsidRDefault="00B27CF0" w:rsidP="00E81F9F">
            <w:pPr>
              <w:rPr>
                <w:sz w:val="20"/>
                <w:szCs w:val="20"/>
              </w:rPr>
            </w:pPr>
            <w:r>
              <w:rPr>
                <w:sz w:val="20"/>
                <w:szCs w:val="20"/>
              </w:rPr>
              <w:t>6030</w:t>
            </w:r>
          </w:p>
        </w:tc>
      </w:tr>
      <w:tr w:rsidR="00277A6B" w:rsidRPr="006A51BA" w14:paraId="45C78968" w14:textId="5EFA5586" w:rsidTr="006A51BA">
        <w:tc>
          <w:tcPr>
            <w:tcW w:w="0" w:type="auto"/>
          </w:tcPr>
          <w:p w14:paraId="1B399C90" w14:textId="7A6EAB4E" w:rsidR="006A51BA" w:rsidRPr="006A51BA" w:rsidRDefault="008F5F5C" w:rsidP="00E81F9F">
            <w:pPr>
              <w:rPr>
                <w:sz w:val="20"/>
                <w:szCs w:val="20"/>
              </w:rPr>
            </w:pPr>
            <w:r w:rsidRPr="00AD5E1C">
              <w:rPr>
                <w:b/>
                <w:bCs/>
                <w:sz w:val="20"/>
                <w:szCs w:val="20"/>
              </w:rPr>
              <w:t>Medium scenario</w:t>
            </w:r>
            <w:r>
              <w:rPr>
                <w:sz w:val="20"/>
                <w:szCs w:val="20"/>
              </w:rPr>
              <w:t xml:space="preserve"> plus current (</w:t>
            </w:r>
            <w:r w:rsidR="00E60D8A">
              <w:rPr>
                <w:sz w:val="20"/>
                <w:szCs w:val="20"/>
              </w:rPr>
              <w:t xml:space="preserve">10 </w:t>
            </w:r>
            <w:proofErr w:type="spellStart"/>
            <w:r w:rsidR="00E60D8A">
              <w:rPr>
                <w:sz w:val="20"/>
                <w:szCs w:val="20"/>
              </w:rPr>
              <w:t>GWe</w:t>
            </w:r>
            <w:proofErr w:type="spellEnd"/>
            <w:r w:rsidR="00E60D8A">
              <w:rPr>
                <w:sz w:val="20"/>
                <w:szCs w:val="20"/>
              </w:rPr>
              <w:t xml:space="preserve"> of new capacity by 2050)</w:t>
            </w:r>
          </w:p>
        </w:tc>
        <w:tc>
          <w:tcPr>
            <w:tcW w:w="0" w:type="auto"/>
          </w:tcPr>
          <w:p w14:paraId="0C380912" w14:textId="0D85D93F" w:rsidR="006A51BA" w:rsidRPr="006A51BA" w:rsidRDefault="001B4AC0" w:rsidP="00E81F9F">
            <w:pPr>
              <w:rPr>
                <w:sz w:val="20"/>
                <w:szCs w:val="20"/>
              </w:rPr>
            </w:pPr>
            <w:r>
              <w:rPr>
                <w:sz w:val="20"/>
                <w:szCs w:val="20"/>
              </w:rPr>
              <w:t>2 gigawatt-scale reactors plus 8 SMRs</w:t>
            </w:r>
          </w:p>
        </w:tc>
        <w:tc>
          <w:tcPr>
            <w:tcW w:w="0" w:type="auto"/>
          </w:tcPr>
          <w:p w14:paraId="5CC0B953" w14:textId="299A6F87" w:rsidR="006A51BA" w:rsidRPr="006A51BA" w:rsidRDefault="00F23BEA" w:rsidP="00E81F9F">
            <w:pPr>
              <w:rPr>
                <w:sz w:val="20"/>
                <w:szCs w:val="20"/>
              </w:rPr>
            </w:pPr>
            <w:r>
              <w:rPr>
                <w:sz w:val="20"/>
                <w:szCs w:val="20"/>
              </w:rPr>
              <w:t>c.6</w:t>
            </w:r>
            <w:r w:rsidR="00EA7C90">
              <w:rPr>
                <w:sz w:val="20"/>
                <w:szCs w:val="20"/>
              </w:rPr>
              <w:t>2</w:t>
            </w:r>
            <w:r>
              <w:rPr>
                <w:sz w:val="20"/>
                <w:szCs w:val="20"/>
              </w:rPr>
              <w:t>,000 declining to c5</w:t>
            </w:r>
            <w:r w:rsidR="00EA7C90">
              <w:rPr>
                <w:sz w:val="20"/>
                <w:szCs w:val="20"/>
              </w:rPr>
              <w:t>5</w:t>
            </w:r>
            <w:r>
              <w:rPr>
                <w:sz w:val="20"/>
                <w:szCs w:val="20"/>
              </w:rPr>
              <w:t>,000</w:t>
            </w:r>
          </w:p>
        </w:tc>
        <w:tc>
          <w:tcPr>
            <w:tcW w:w="0" w:type="auto"/>
          </w:tcPr>
          <w:p w14:paraId="6892916C" w14:textId="66C6DB03" w:rsidR="006A51BA" w:rsidRPr="006A51BA" w:rsidRDefault="00EA7C90" w:rsidP="00E81F9F">
            <w:pPr>
              <w:rPr>
                <w:sz w:val="20"/>
                <w:szCs w:val="20"/>
              </w:rPr>
            </w:pPr>
            <w:r>
              <w:rPr>
                <w:sz w:val="20"/>
                <w:szCs w:val="20"/>
              </w:rPr>
              <w:t>6541</w:t>
            </w:r>
          </w:p>
        </w:tc>
        <w:tc>
          <w:tcPr>
            <w:tcW w:w="0" w:type="auto"/>
          </w:tcPr>
          <w:p w14:paraId="59E1C821" w14:textId="3A4D4852" w:rsidR="006A51BA" w:rsidRPr="006A51BA" w:rsidRDefault="00EA7C90" w:rsidP="00E81F9F">
            <w:pPr>
              <w:rPr>
                <w:sz w:val="20"/>
                <w:szCs w:val="20"/>
              </w:rPr>
            </w:pPr>
            <w:r>
              <w:rPr>
                <w:sz w:val="20"/>
                <w:szCs w:val="20"/>
              </w:rPr>
              <w:t>3081</w:t>
            </w:r>
          </w:p>
        </w:tc>
        <w:tc>
          <w:tcPr>
            <w:tcW w:w="0" w:type="auto"/>
          </w:tcPr>
          <w:p w14:paraId="44AFECD1" w14:textId="456E2152" w:rsidR="006A51BA" w:rsidRPr="006A51BA" w:rsidRDefault="00EA7C90" w:rsidP="00E81F9F">
            <w:pPr>
              <w:rPr>
                <w:sz w:val="20"/>
                <w:szCs w:val="20"/>
              </w:rPr>
            </w:pPr>
            <w:r>
              <w:rPr>
                <w:sz w:val="20"/>
                <w:szCs w:val="20"/>
              </w:rPr>
              <w:t>2614</w:t>
            </w:r>
          </w:p>
        </w:tc>
      </w:tr>
      <w:tr w:rsidR="00277A6B" w:rsidRPr="006A51BA" w14:paraId="1EE5C46F" w14:textId="57E9B07A" w:rsidTr="006A51BA">
        <w:tc>
          <w:tcPr>
            <w:tcW w:w="0" w:type="auto"/>
          </w:tcPr>
          <w:p w14:paraId="12EF3872" w14:textId="7F01BC8B" w:rsidR="006A51BA" w:rsidRPr="006A51BA" w:rsidRDefault="005971ED" w:rsidP="00E81F9F">
            <w:pPr>
              <w:rPr>
                <w:sz w:val="20"/>
                <w:szCs w:val="20"/>
              </w:rPr>
            </w:pPr>
            <w:r w:rsidRPr="00AD5E1C">
              <w:rPr>
                <w:b/>
                <w:bCs/>
                <w:sz w:val="20"/>
                <w:szCs w:val="20"/>
              </w:rPr>
              <w:t>Low scenario</w:t>
            </w:r>
            <w:r w:rsidR="00DB09A3">
              <w:rPr>
                <w:sz w:val="20"/>
                <w:szCs w:val="20"/>
              </w:rPr>
              <w:t xml:space="preserve"> plus current (6.4 </w:t>
            </w:r>
            <w:proofErr w:type="spellStart"/>
            <w:r w:rsidR="00DB09A3">
              <w:rPr>
                <w:sz w:val="20"/>
                <w:szCs w:val="20"/>
              </w:rPr>
              <w:t>GWe</w:t>
            </w:r>
            <w:proofErr w:type="spellEnd"/>
            <w:r w:rsidR="00DB09A3">
              <w:rPr>
                <w:sz w:val="20"/>
                <w:szCs w:val="20"/>
              </w:rPr>
              <w:t xml:space="preserve"> of new capacity by 2050)</w:t>
            </w:r>
          </w:p>
        </w:tc>
        <w:tc>
          <w:tcPr>
            <w:tcW w:w="0" w:type="auto"/>
          </w:tcPr>
          <w:p w14:paraId="7E5522D6" w14:textId="68A8847E" w:rsidR="006A51BA" w:rsidRPr="006A51BA" w:rsidRDefault="00DB09A3" w:rsidP="00E81F9F">
            <w:pPr>
              <w:rPr>
                <w:sz w:val="20"/>
                <w:szCs w:val="20"/>
              </w:rPr>
            </w:pPr>
            <w:r>
              <w:rPr>
                <w:sz w:val="20"/>
                <w:szCs w:val="20"/>
              </w:rPr>
              <w:t>2 gigawatt-scale reactors</w:t>
            </w:r>
          </w:p>
        </w:tc>
        <w:tc>
          <w:tcPr>
            <w:tcW w:w="0" w:type="auto"/>
          </w:tcPr>
          <w:p w14:paraId="23265924" w14:textId="1B71C1BA" w:rsidR="006A51BA" w:rsidRPr="006A51BA" w:rsidRDefault="00FD48F0" w:rsidP="00E81F9F">
            <w:pPr>
              <w:rPr>
                <w:sz w:val="20"/>
                <w:szCs w:val="20"/>
              </w:rPr>
            </w:pPr>
            <w:r>
              <w:rPr>
                <w:sz w:val="20"/>
                <w:szCs w:val="20"/>
              </w:rPr>
              <w:t>c.62,000 declining to c55,000</w:t>
            </w:r>
          </w:p>
        </w:tc>
        <w:tc>
          <w:tcPr>
            <w:tcW w:w="0" w:type="auto"/>
          </w:tcPr>
          <w:p w14:paraId="1136750D" w14:textId="2298B2CE" w:rsidR="006A51BA" w:rsidRPr="006A51BA" w:rsidRDefault="00FD48F0" w:rsidP="00E81F9F">
            <w:pPr>
              <w:rPr>
                <w:sz w:val="20"/>
                <w:szCs w:val="20"/>
              </w:rPr>
            </w:pPr>
            <w:r>
              <w:rPr>
                <w:sz w:val="20"/>
                <w:szCs w:val="20"/>
              </w:rPr>
              <w:t>6541</w:t>
            </w:r>
          </w:p>
        </w:tc>
        <w:tc>
          <w:tcPr>
            <w:tcW w:w="0" w:type="auto"/>
          </w:tcPr>
          <w:p w14:paraId="71352553" w14:textId="4C6366A3" w:rsidR="006A51BA" w:rsidRPr="006A51BA" w:rsidRDefault="001B7848" w:rsidP="00E81F9F">
            <w:pPr>
              <w:rPr>
                <w:sz w:val="20"/>
                <w:szCs w:val="20"/>
              </w:rPr>
            </w:pPr>
            <w:r>
              <w:rPr>
                <w:sz w:val="20"/>
                <w:szCs w:val="20"/>
              </w:rPr>
              <w:t>2042</w:t>
            </w:r>
          </w:p>
        </w:tc>
        <w:tc>
          <w:tcPr>
            <w:tcW w:w="0" w:type="auto"/>
          </w:tcPr>
          <w:p w14:paraId="3B242EA2" w14:textId="02C8C0BB" w:rsidR="006A51BA" w:rsidRPr="006A51BA" w:rsidRDefault="001B7848" w:rsidP="00E81F9F">
            <w:pPr>
              <w:rPr>
                <w:sz w:val="20"/>
                <w:szCs w:val="20"/>
              </w:rPr>
            </w:pPr>
            <w:r>
              <w:rPr>
                <w:sz w:val="20"/>
                <w:szCs w:val="20"/>
              </w:rPr>
              <w:t>2455</w:t>
            </w:r>
          </w:p>
        </w:tc>
      </w:tr>
    </w:tbl>
    <w:p w14:paraId="1D22199B" w14:textId="77777777" w:rsidR="00E87AE3" w:rsidRDefault="00E87AE3" w:rsidP="00E81F9F"/>
    <w:p w14:paraId="5AD6A600" w14:textId="20EF12D2" w:rsidR="00B27CF0" w:rsidRDefault="00B27CF0" w:rsidP="00E81F9F">
      <w:r>
        <w:t xml:space="preserve">Under the </w:t>
      </w:r>
      <w:r w:rsidRPr="008F3BE5">
        <w:rPr>
          <w:u w:val="single"/>
        </w:rPr>
        <w:t>high scenario</w:t>
      </w:r>
      <w:r>
        <w:t xml:space="preserve">, </w:t>
      </w:r>
      <w:r w:rsidR="00E6250B">
        <w:t xml:space="preserve">employer demand peaks </w:t>
      </w:r>
      <w:r>
        <w:t xml:space="preserve">in the mid-2020s in response to Hinkley </w:t>
      </w:r>
      <w:r w:rsidR="008F3BE5">
        <w:t xml:space="preserve">Point C and Sizewell C developments, before falling and then rising again in the 2030s to meet demand for SMR fabrication and development. </w:t>
      </w:r>
      <w:r w:rsidR="007C7E93">
        <w:t xml:space="preserve">The construction workforce is expected to peak in the late 2020s at around 15,000, before shrinking considerably until the early 2030s when it grows to around 10,000 per annum (focused on SMRs). </w:t>
      </w:r>
    </w:p>
    <w:p w14:paraId="3053A5F0" w14:textId="062AB341" w:rsidR="007C7E93" w:rsidRDefault="007C7E93" w:rsidP="00E81F9F">
      <w:r>
        <w:t xml:space="preserve">Under the </w:t>
      </w:r>
      <w:r w:rsidRPr="007C7E93">
        <w:rPr>
          <w:u w:val="single"/>
        </w:rPr>
        <w:t>medium scenario</w:t>
      </w:r>
      <w:r w:rsidR="00E60D8A">
        <w:rPr>
          <w:u w:val="single"/>
        </w:rPr>
        <w:t xml:space="preserve">, </w:t>
      </w:r>
      <w:r w:rsidR="00E60D8A">
        <w:t xml:space="preserve"> </w:t>
      </w:r>
      <w:r w:rsidR="00BA051B">
        <w:t xml:space="preserve">the inflow requirement </w:t>
      </w:r>
      <w:r w:rsidR="00E6250B">
        <w:t>peaks</w:t>
      </w:r>
      <w:r w:rsidR="00BA051B">
        <w:t xml:space="preserve"> in the 2020s as Sizewell C and Hinkley Point C are built. </w:t>
      </w:r>
      <w:r w:rsidR="005971ED">
        <w:t>The annual inflow requirement</w:t>
      </w:r>
      <w:r w:rsidR="00BA051B">
        <w:t xml:space="preserve"> then falls in the early 2030s </w:t>
      </w:r>
      <w:r w:rsidR="0034248B">
        <w:t>before growing in the mid-2030s to 4998</w:t>
      </w:r>
      <w:r w:rsidR="00E6250B">
        <w:t xml:space="preserve"> in response to SMR growth</w:t>
      </w:r>
      <w:r w:rsidR="0034248B">
        <w:t xml:space="preserve">. It then drops back again in the 2040s to 2614. </w:t>
      </w:r>
      <w:r w:rsidR="00137518">
        <w:t xml:space="preserve">The construction workforce peaks at around 13,000 in 2025, then falls away sharply to 2030 before growing again </w:t>
      </w:r>
      <w:r w:rsidR="00066473">
        <w:t>to around 8000 until 2040, after which it declines sharply.</w:t>
      </w:r>
    </w:p>
    <w:p w14:paraId="2C32067F" w14:textId="6547F309" w:rsidR="001B7848" w:rsidRDefault="001B7848" w:rsidP="00E81F9F">
      <w:r>
        <w:t xml:space="preserve">Under the </w:t>
      </w:r>
      <w:r w:rsidRPr="001B7848">
        <w:rPr>
          <w:u w:val="single"/>
        </w:rPr>
        <w:t>low scenario</w:t>
      </w:r>
      <w:r>
        <w:rPr>
          <w:u w:val="single"/>
        </w:rPr>
        <w:t>,</w:t>
      </w:r>
      <w:r>
        <w:t xml:space="preserve"> </w:t>
      </w:r>
      <w:r w:rsidR="00786D51">
        <w:t>the annual inflow requirement from 2030 stays below 2500</w:t>
      </w:r>
      <w:r w:rsidR="00B87D71">
        <w:t>, with no new build civil workforce beyond 2032</w:t>
      </w:r>
      <w:r w:rsidR="00786D51">
        <w:t xml:space="preserve">. </w:t>
      </w:r>
    </w:p>
    <w:p w14:paraId="41BE2F01" w14:textId="4746501C" w:rsidR="00EF1667" w:rsidRPr="001B7848" w:rsidRDefault="00EF1667" w:rsidP="00EF1667">
      <w:pPr>
        <w:pStyle w:val="Heading2"/>
      </w:pPr>
      <w:bookmarkStart w:id="15" w:name="_Toc135938264"/>
      <w:r>
        <w:t>4.4 Education and training delivery</w:t>
      </w:r>
      <w:bookmarkEnd w:id="15"/>
    </w:p>
    <w:p w14:paraId="308765D0" w14:textId="7609BBF3" w:rsidR="00935CAC" w:rsidRDefault="00B07B8E" w:rsidP="00E81F9F">
      <w:r>
        <w:t xml:space="preserve">DfE data provides insight into the volume and distribution of training in occupations and sectors that are likely to be at the forefront of clean energy growth. </w:t>
      </w:r>
      <w:r w:rsidR="00EF1667">
        <w:t xml:space="preserve">Cumbria is home to an extensive </w:t>
      </w:r>
      <w:r w:rsidR="007E239F">
        <w:t xml:space="preserve">further and higher education provider base, much of it focused on responding to </w:t>
      </w:r>
      <w:r w:rsidR="00827910">
        <w:t>energy sector needs</w:t>
      </w:r>
      <w:r w:rsidR="007E239F">
        <w:t xml:space="preserve">. </w:t>
      </w:r>
    </w:p>
    <w:p w14:paraId="6DE11A48" w14:textId="410C2C9C" w:rsidR="007E239F" w:rsidRDefault="007E239F" w:rsidP="00E81F9F">
      <w:r>
        <w:t xml:space="preserve">Analysis of relevant DfE </w:t>
      </w:r>
      <w:r w:rsidR="00935CAC" w:rsidRPr="00BE362A">
        <w:rPr>
          <w:b/>
          <w:bCs/>
        </w:rPr>
        <w:t xml:space="preserve">apprenticeship </w:t>
      </w:r>
      <w:r w:rsidRPr="00BE362A">
        <w:rPr>
          <w:b/>
          <w:bCs/>
        </w:rPr>
        <w:t>provision</w:t>
      </w:r>
      <w:r>
        <w:t xml:space="preserve"> data shows that</w:t>
      </w:r>
      <w:r w:rsidR="00935CAC">
        <w:t xml:space="preserve"> in the first two quarters of the current academic year (August to January):</w:t>
      </w:r>
    </w:p>
    <w:p w14:paraId="3BC7A790" w14:textId="56620DA1" w:rsidR="00935CAC" w:rsidRDefault="00935CAC" w:rsidP="00D37CC5">
      <w:pPr>
        <w:pStyle w:val="ListParagraph"/>
        <w:numPr>
          <w:ilvl w:val="0"/>
          <w:numId w:val="12"/>
        </w:numPr>
      </w:pPr>
      <w:r>
        <w:t xml:space="preserve">804 Cumbria residents started an engineering and manufacturing apprenticeships. </w:t>
      </w:r>
      <w:r w:rsidR="00A22385">
        <w:t xml:space="preserve">The largest volumes were with BAE Systems (256), Gen2 (204) and Lakes College (111). </w:t>
      </w:r>
    </w:p>
    <w:p w14:paraId="3BC35488" w14:textId="2700B0C9" w:rsidR="005B3388" w:rsidRDefault="00206563" w:rsidP="00D37CC5">
      <w:pPr>
        <w:pStyle w:val="ListParagraph"/>
        <w:numPr>
          <w:ilvl w:val="0"/>
          <w:numId w:val="12"/>
        </w:numPr>
      </w:pPr>
      <w:r>
        <w:t xml:space="preserve">Almost two thirds of these starts were at level 3, led by the </w:t>
      </w:r>
      <w:r w:rsidR="002532B3">
        <w:t xml:space="preserve">Engineering Technician (184 starts) and </w:t>
      </w:r>
      <w:r w:rsidR="0080291E">
        <w:t xml:space="preserve">Maintenance and Operations Engineering Technician (108 starts) standards. </w:t>
      </w:r>
      <w:r w:rsidR="005B3388">
        <w:t xml:space="preserve">About 20% of these starts were at higher or degree level, </w:t>
      </w:r>
      <w:r w:rsidR="00296338">
        <w:t>with much of this activity focused within the nuclear industry</w:t>
      </w:r>
      <w:r w:rsidR="00E63F8A">
        <w:t xml:space="preserve"> in occupations such as Nuclear Technician (level 5), </w:t>
      </w:r>
      <w:r w:rsidR="000E21AD">
        <w:t xml:space="preserve">Product Design and Development Engineer (level 6) and Nuclear Scientist and Nuclear Engineer (level 6). </w:t>
      </w:r>
    </w:p>
    <w:p w14:paraId="47290A3D" w14:textId="417B0F51" w:rsidR="000E21AD" w:rsidRPr="00E60D8A" w:rsidRDefault="00604755" w:rsidP="00D37CC5">
      <w:pPr>
        <w:pStyle w:val="ListParagraph"/>
        <w:numPr>
          <w:ilvl w:val="0"/>
          <w:numId w:val="12"/>
        </w:numPr>
      </w:pPr>
      <w:r>
        <w:t>Installation Electrician and Maintenance Electrician (level 3) is the most popular apprenticeship standard under the construction route</w:t>
      </w:r>
      <w:r w:rsidR="001D3DE2">
        <w:t xml:space="preserve"> in (95 starts)</w:t>
      </w:r>
      <w:r w:rsidR="00000A3B">
        <w:t>, followed by the key trades. NCG, Lakes College and JTL are the largest providers in this sector</w:t>
      </w:r>
      <w:r w:rsidR="007777FA">
        <w:t xml:space="preserve">, much of the top two’s delivery is at L2. </w:t>
      </w:r>
    </w:p>
    <w:p w14:paraId="26C933E3" w14:textId="31B5808E" w:rsidR="008F3BE5" w:rsidRDefault="00CE5AAA" w:rsidP="00E81F9F">
      <w:r w:rsidRPr="00BE362A">
        <w:rPr>
          <w:b/>
          <w:bCs/>
        </w:rPr>
        <w:t>T Levels</w:t>
      </w:r>
      <w:r w:rsidR="0047192E">
        <w:t xml:space="preserve"> – intended to provide a high quality technical alternative to the A level pathway - </w:t>
      </w:r>
      <w:r>
        <w:t xml:space="preserve">remain in their infancy, </w:t>
      </w:r>
      <w:r w:rsidR="0047192E">
        <w:t xml:space="preserve">though </w:t>
      </w:r>
      <w:r w:rsidR="00475BE6">
        <w:t xml:space="preserve">2021/22 </w:t>
      </w:r>
      <w:r w:rsidR="0047192E">
        <w:t>data suggests small volumes of learners undertaking relevant T Level specialisms with local colleges. This includes:</w:t>
      </w:r>
    </w:p>
    <w:p w14:paraId="4597296B" w14:textId="7515EA02" w:rsidR="0047192E" w:rsidRDefault="00864212" w:rsidP="00D37CC5">
      <w:pPr>
        <w:pStyle w:val="ListParagraph"/>
        <w:numPr>
          <w:ilvl w:val="0"/>
          <w:numId w:val="13"/>
        </w:numPr>
      </w:pPr>
      <w:r>
        <w:t>Nine learners enrolled on electrotechnical engineering T Level specialisms at Kendal College and Lakes College</w:t>
      </w:r>
    </w:p>
    <w:p w14:paraId="19B418AD" w14:textId="21FC058E" w:rsidR="00864212" w:rsidRDefault="007073FA" w:rsidP="00D37CC5">
      <w:pPr>
        <w:pStyle w:val="ListParagraph"/>
        <w:numPr>
          <w:ilvl w:val="0"/>
          <w:numId w:val="13"/>
        </w:numPr>
      </w:pPr>
      <w:r>
        <w:t>Four learners on a surveying and design T Level specialism at Lakes College</w:t>
      </w:r>
    </w:p>
    <w:p w14:paraId="7D9BB810" w14:textId="5D3D87C2" w:rsidR="007073FA" w:rsidRDefault="003F676E" w:rsidP="003F676E">
      <w:r w:rsidRPr="00BE362A">
        <w:rPr>
          <w:b/>
          <w:bCs/>
        </w:rPr>
        <w:t>Adult 19+ delivery</w:t>
      </w:r>
      <w:r>
        <w:t xml:space="preserve"> is relatively sparse at level 3 and above (which is </w:t>
      </w:r>
      <w:r w:rsidR="002435DB">
        <w:t xml:space="preserve">where the bulk of </w:t>
      </w:r>
      <w:r w:rsidR="002F5EAE">
        <w:t xml:space="preserve">skills demand for </w:t>
      </w:r>
      <w:r w:rsidR="002435DB">
        <w:t xml:space="preserve">clean energy </w:t>
      </w:r>
      <w:r w:rsidR="002F5EAE">
        <w:t>occupations is</w:t>
      </w:r>
      <w:r w:rsidR="002435DB">
        <w:t xml:space="preserve"> likely to </w:t>
      </w:r>
      <w:r w:rsidR="001C685B">
        <w:t>be</w:t>
      </w:r>
      <w:r w:rsidR="002435DB">
        <w:t>)</w:t>
      </w:r>
      <w:r w:rsidR="00657023">
        <w:t xml:space="preserve">, despite the </w:t>
      </w:r>
      <w:r w:rsidR="0086525A">
        <w:t>availability</w:t>
      </w:r>
      <w:r w:rsidR="00657023">
        <w:t xml:space="preserve"> of Government’s ‘Free Courses For Jobs’ programme, which restores the funding entitlement for level 3 learning </w:t>
      </w:r>
      <w:r w:rsidR="001C685B">
        <w:t>for</w:t>
      </w:r>
      <w:r w:rsidR="00657023">
        <w:t xml:space="preserve"> many adults</w:t>
      </w:r>
      <w:r w:rsidR="002435DB">
        <w:t>. However DfE data does reveal some relevant delivery by local colleges, such as:</w:t>
      </w:r>
    </w:p>
    <w:p w14:paraId="488A4FBC" w14:textId="356B5D8B" w:rsidR="002435DB" w:rsidRDefault="00640FA0" w:rsidP="00D37CC5">
      <w:pPr>
        <w:pStyle w:val="ListParagraph"/>
        <w:numPr>
          <w:ilvl w:val="0"/>
          <w:numId w:val="14"/>
        </w:numPr>
      </w:pPr>
      <w:r>
        <w:t>Eight learners undertaking a diploma in occupational work supervision with Lakes College</w:t>
      </w:r>
    </w:p>
    <w:p w14:paraId="0C7B42CD" w14:textId="7A614FEF" w:rsidR="00640FA0" w:rsidRDefault="00640FA0" w:rsidP="00D37CC5">
      <w:pPr>
        <w:pStyle w:val="ListParagraph"/>
        <w:numPr>
          <w:ilvl w:val="0"/>
          <w:numId w:val="14"/>
        </w:numPr>
      </w:pPr>
      <w:r>
        <w:t>10 learners studying for an HNC in Electrical Engineering with Furness College</w:t>
      </w:r>
    </w:p>
    <w:p w14:paraId="004AC9E3" w14:textId="502FA87C" w:rsidR="00112C14" w:rsidRDefault="00112C14" w:rsidP="00D37CC5">
      <w:pPr>
        <w:pStyle w:val="ListParagraph"/>
        <w:numPr>
          <w:ilvl w:val="0"/>
          <w:numId w:val="14"/>
        </w:numPr>
      </w:pPr>
      <w:r>
        <w:t>18 learners enrolled on an HNC in Engineering with NCG (Carlisle) and Kendal College</w:t>
      </w:r>
    </w:p>
    <w:p w14:paraId="1A4789C2" w14:textId="7BD0B018" w:rsidR="00640FA0" w:rsidRDefault="00112C14" w:rsidP="00D37CC5">
      <w:pPr>
        <w:pStyle w:val="ListParagraph"/>
        <w:numPr>
          <w:ilvl w:val="0"/>
          <w:numId w:val="14"/>
        </w:numPr>
      </w:pPr>
      <w:r>
        <w:t>123 learners enrolled on various welding courses</w:t>
      </w:r>
      <w:r w:rsidR="00BE362A">
        <w:t xml:space="preserve"> – certificates and awards – with Furness College. </w:t>
      </w:r>
    </w:p>
    <w:p w14:paraId="1944E133" w14:textId="46DFEC85" w:rsidR="000A255D" w:rsidRDefault="00BE362A" w:rsidP="000A255D">
      <w:r>
        <w:t xml:space="preserve">No detailed data is published on </w:t>
      </w:r>
      <w:r w:rsidRPr="000E43AD">
        <w:rPr>
          <w:b/>
          <w:bCs/>
        </w:rPr>
        <w:t>16-19 study programme</w:t>
      </w:r>
      <w:r>
        <w:t xml:space="preserve"> delivery</w:t>
      </w:r>
      <w:r w:rsidR="009052A3">
        <w:t xml:space="preserve">, which forms the mainstay of many colleges’ activity, except for data showing the size of </w:t>
      </w:r>
      <w:r w:rsidR="00991EF6">
        <w:t xml:space="preserve">leaver </w:t>
      </w:r>
      <w:r w:rsidR="009052A3">
        <w:t>cohorts by subject area within achievement rate data</w:t>
      </w:r>
      <w:r w:rsidR="00206A39">
        <w:t>, as follows:</w:t>
      </w:r>
    </w:p>
    <w:p w14:paraId="4E60C261" w14:textId="58CC6A6F" w:rsidR="00206A39" w:rsidRDefault="00206A39" w:rsidP="00D37CC5">
      <w:pPr>
        <w:pStyle w:val="ListParagraph"/>
        <w:numPr>
          <w:ilvl w:val="0"/>
          <w:numId w:val="15"/>
        </w:numPr>
      </w:pPr>
      <w:r>
        <w:t xml:space="preserve">470 </w:t>
      </w:r>
      <w:r w:rsidR="00A3160A">
        <w:t>learners aged 16-18 leaving Engineering and Manufacturing study programmes</w:t>
      </w:r>
      <w:r w:rsidR="00B2174F">
        <w:t xml:space="preserve"> in 2022 </w:t>
      </w:r>
      <w:r w:rsidR="00E51B8B">
        <w:t xml:space="preserve">at Cumbria’s colleges and Gen2 </w:t>
      </w:r>
      <w:r w:rsidR="00B2174F">
        <w:t>(either due to successful completion or dropout)</w:t>
      </w:r>
      <w:r w:rsidR="00A3160A">
        <w:t xml:space="preserve">, </w:t>
      </w:r>
      <w:r w:rsidR="00B3126D">
        <w:t>with the largest numbers at Furness College (170) and Kendal College (150). Data for Carlisle College is not available</w:t>
      </w:r>
    </w:p>
    <w:p w14:paraId="06D01E7A" w14:textId="569BE710" w:rsidR="00B2174F" w:rsidRDefault="00835ACE" w:rsidP="00D37CC5">
      <w:pPr>
        <w:pStyle w:val="ListParagraph"/>
        <w:numPr>
          <w:ilvl w:val="0"/>
          <w:numId w:val="15"/>
        </w:numPr>
      </w:pPr>
      <w:r>
        <w:t xml:space="preserve">370 learners aged 16-18 leaving </w:t>
      </w:r>
      <w:r w:rsidR="003F5BCB">
        <w:t>C</w:t>
      </w:r>
      <w:r>
        <w:t xml:space="preserve">onstruction study programmes in 2022 (either due to successful completion or dropout), largest volumes at Lakes College (160) and </w:t>
      </w:r>
      <w:r w:rsidR="000E43AD">
        <w:t>Furness College (130).</w:t>
      </w:r>
    </w:p>
    <w:p w14:paraId="5EA44491" w14:textId="2A4403D7" w:rsidR="002C0244" w:rsidRDefault="000E43AD" w:rsidP="000E43AD">
      <w:r>
        <w:t xml:space="preserve">Finally, </w:t>
      </w:r>
      <w:proofErr w:type="spellStart"/>
      <w:r>
        <w:t>OfS</w:t>
      </w:r>
      <w:proofErr w:type="spellEnd"/>
      <w:r>
        <w:t xml:space="preserve"> data indicates that only small numbers of engineering and manufacturing </w:t>
      </w:r>
      <w:r w:rsidR="007465BD" w:rsidRPr="007465BD">
        <w:rPr>
          <w:b/>
          <w:bCs/>
        </w:rPr>
        <w:t>higher education</w:t>
      </w:r>
      <w:r>
        <w:t xml:space="preserve"> courses are delivered in Cumbria. The University of Cumbria </w:t>
      </w:r>
      <w:r w:rsidR="00EA2E02">
        <w:t xml:space="preserve">does not specialise in this area thus far, though Cumbria’s colleges and Gen2 maintain a healthy HE offer (often accredited by the University of Cumbria). </w:t>
      </w:r>
      <w:r w:rsidR="002C0244">
        <w:t xml:space="preserve">Within ‘Engineering and Technology’, </w:t>
      </w:r>
      <w:proofErr w:type="spellStart"/>
      <w:r w:rsidR="002C0244">
        <w:t>OfS</w:t>
      </w:r>
      <w:proofErr w:type="spellEnd"/>
      <w:r w:rsidR="002C0244">
        <w:t xml:space="preserve"> data indicates that in 2019 (most recent available data), HE student headcount by teaching provider in Cumbria was:</w:t>
      </w:r>
    </w:p>
    <w:p w14:paraId="543BD060" w14:textId="21E90F24" w:rsidR="000E43AD" w:rsidRDefault="002C445E" w:rsidP="00D37CC5">
      <w:pPr>
        <w:pStyle w:val="ListParagraph"/>
        <w:numPr>
          <w:ilvl w:val="0"/>
          <w:numId w:val="16"/>
        </w:numPr>
      </w:pPr>
      <w:r>
        <w:t>Furness College: 265 students</w:t>
      </w:r>
    </w:p>
    <w:p w14:paraId="01A234C5" w14:textId="3CD18BAE" w:rsidR="002C445E" w:rsidRDefault="002C445E" w:rsidP="00D37CC5">
      <w:pPr>
        <w:pStyle w:val="ListParagraph"/>
        <w:numPr>
          <w:ilvl w:val="0"/>
          <w:numId w:val="16"/>
        </w:numPr>
      </w:pPr>
      <w:r>
        <w:t>Lakes College: 195 students</w:t>
      </w:r>
    </w:p>
    <w:p w14:paraId="6594E247" w14:textId="500AED06" w:rsidR="002C445E" w:rsidRDefault="002C445E" w:rsidP="00D37CC5">
      <w:pPr>
        <w:pStyle w:val="ListParagraph"/>
        <w:numPr>
          <w:ilvl w:val="0"/>
          <w:numId w:val="16"/>
        </w:numPr>
      </w:pPr>
      <w:r>
        <w:t>Gen2: 145 students</w:t>
      </w:r>
    </w:p>
    <w:p w14:paraId="3475B95F" w14:textId="1BCF524F" w:rsidR="002C445E" w:rsidRDefault="007465BD" w:rsidP="00D37CC5">
      <w:pPr>
        <w:pStyle w:val="ListParagraph"/>
        <w:numPr>
          <w:ilvl w:val="0"/>
          <w:numId w:val="16"/>
        </w:numPr>
      </w:pPr>
      <w:r>
        <w:t>NCG (Carlisle): 45 students</w:t>
      </w:r>
    </w:p>
    <w:p w14:paraId="2EA227CB" w14:textId="2C586FAA" w:rsidR="007465BD" w:rsidRDefault="007465BD" w:rsidP="00D37CC5">
      <w:pPr>
        <w:pStyle w:val="ListParagraph"/>
        <w:numPr>
          <w:ilvl w:val="0"/>
          <w:numId w:val="16"/>
        </w:numPr>
      </w:pPr>
      <w:r>
        <w:t>Kendal College: 25 students</w:t>
      </w:r>
    </w:p>
    <w:p w14:paraId="7FA5B6A6" w14:textId="141EFBE8" w:rsidR="00195065" w:rsidRDefault="00D70860" w:rsidP="00D70860">
      <w:r>
        <w:t xml:space="preserve">Feedback suggests that most of these students are sponsored by their employer to undertake </w:t>
      </w:r>
      <w:r w:rsidR="005A5CF5">
        <w:t xml:space="preserve">their degree programme, leaving a question mark about whether learners taking the traditional A level route to university have a viable engineering degree programme route available in Cumbria. </w:t>
      </w:r>
    </w:p>
    <w:p w14:paraId="11D8AEE2" w14:textId="6A4E05E8" w:rsidR="007465BD" w:rsidRDefault="007465BD" w:rsidP="007465BD">
      <w:pPr>
        <w:pStyle w:val="Heading2"/>
      </w:pPr>
      <w:bookmarkStart w:id="16" w:name="_Toc135938265"/>
      <w:r>
        <w:t>4.5 Summary</w:t>
      </w:r>
      <w:bookmarkEnd w:id="16"/>
    </w:p>
    <w:p w14:paraId="0BF1F3D1" w14:textId="0BBC30F1" w:rsidR="007465BD" w:rsidRDefault="007465BD" w:rsidP="007465BD">
      <w:r>
        <w:t xml:space="preserve">The above data review </w:t>
      </w:r>
      <w:r w:rsidR="000C2F97">
        <w:t>indicates</w:t>
      </w:r>
      <w:r>
        <w:t xml:space="preserve"> that:</w:t>
      </w:r>
    </w:p>
    <w:p w14:paraId="2EA108A2" w14:textId="5FE6A963" w:rsidR="007465BD" w:rsidRDefault="000C2F97" w:rsidP="00D37CC5">
      <w:pPr>
        <w:pStyle w:val="ListParagraph"/>
        <w:numPr>
          <w:ilvl w:val="0"/>
          <w:numId w:val="17"/>
        </w:numPr>
      </w:pPr>
      <w:r>
        <w:t xml:space="preserve">Emissions from Cumbria are falling largely as a result of reductions from industry, and there remains scope to make further gains in cutting CO2 emissions from major employers. </w:t>
      </w:r>
    </w:p>
    <w:p w14:paraId="41D40950" w14:textId="1A40A9F5" w:rsidR="000C2F97" w:rsidRDefault="000C2F97" w:rsidP="00D37CC5">
      <w:pPr>
        <w:pStyle w:val="ListParagraph"/>
        <w:numPr>
          <w:ilvl w:val="0"/>
          <w:numId w:val="17"/>
        </w:numPr>
      </w:pPr>
      <w:r>
        <w:t xml:space="preserve">Recent years have seen a modest trend of </w:t>
      </w:r>
      <w:r w:rsidR="00A840AE">
        <w:t xml:space="preserve">small scale, renewable energy projects in Cumbria. However the county is lacking many large-scale clean energy projects in the pipeline – only the nuclear SMR and the Carlton Power hydrogen development at Barrow currently register. </w:t>
      </w:r>
    </w:p>
    <w:p w14:paraId="1B3E7C7F" w14:textId="559AD0BE" w:rsidR="00A840AE" w:rsidRDefault="00A840AE" w:rsidP="00D37CC5">
      <w:pPr>
        <w:pStyle w:val="ListParagraph"/>
        <w:numPr>
          <w:ilvl w:val="0"/>
          <w:numId w:val="17"/>
        </w:numPr>
      </w:pPr>
      <w:r>
        <w:t xml:space="preserve">A larger-than-average proportion of the local workforce are employed in occupations that are related to, or likely to be in demand from, clean energy developments in the county. However high levels of replacement demand mean that employers and providers will need to work hard </w:t>
      </w:r>
      <w:r w:rsidR="003F5BCB">
        <w:t xml:space="preserve">(amid a declining local working age population) </w:t>
      </w:r>
      <w:r>
        <w:t xml:space="preserve">to avoid skills shortages in technical occupations from </w:t>
      </w:r>
      <w:r w:rsidR="00B55B73">
        <w:t>constraining clean energy growth in future</w:t>
      </w:r>
    </w:p>
    <w:p w14:paraId="16566857" w14:textId="2D378686" w:rsidR="00B55B73" w:rsidRDefault="00B55B73" w:rsidP="00D37CC5">
      <w:pPr>
        <w:pStyle w:val="ListParagraph"/>
        <w:numPr>
          <w:ilvl w:val="0"/>
          <w:numId w:val="17"/>
        </w:numPr>
      </w:pPr>
      <w:r>
        <w:t xml:space="preserve">The only well-founded forecasting model relating to clean energy is focused on the nuclear sector, though this analysis is UK-wide rather than specific to Cumbria. It points to a declining overall demand for skilled labour to operate facilities, though high replacement demand will </w:t>
      </w:r>
      <w:r w:rsidR="00D30FD1">
        <w:t xml:space="preserve">mean that the annual requirement for new recruits will probably remain robust. </w:t>
      </w:r>
    </w:p>
    <w:p w14:paraId="519B2FDE" w14:textId="56527DF5" w:rsidR="00D30FD1" w:rsidRPr="007465BD" w:rsidRDefault="00D30FD1" w:rsidP="00D37CC5">
      <w:pPr>
        <w:pStyle w:val="ListParagraph"/>
        <w:numPr>
          <w:ilvl w:val="0"/>
          <w:numId w:val="17"/>
        </w:numPr>
      </w:pPr>
      <w:r>
        <w:t>Cumbria is home to an extensive infrastructure of training provision in occupations that are likely to be in demand as a result of clean energy developments over the coming years. Apprenticeship volumes are high, though the number of learners enrolled on T Levels remains modest and adult learning at level 3 and above is scarce. HE delivery in subjects relevant to green energy appears to be led by local colleges – the lack of a major mechanical</w:t>
      </w:r>
      <w:r w:rsidR="00BF7241">
        <w:t xml:space="preserve">, </w:t>
      </w:r>
      <w:r>
        <w:t>electrical</w:t>
      </w:r>
      <w:r w:rsidR="00BF7241">
        <w:t xml:space="preserve"> or construction</w:t>
      </w:r>
      <w:r>
        <w:t xml:space="preserve"> engineering </w:t>
      </w:r>
      <w:r w:rsidR="00245C37">
        <w:t xml:space="preserve">offer from the University of Cumbria is perhaps a gap. </w:t>
      </w:r>
    </w:p>
    <w:p w14:paraId="057574F5" w14:textId="77777777" w:rsidR="00E832BC" w:rsidRDefault="00E832BC" w:rsidP="00E832BC"/>
    <w:p w14:paraId="61FFE22F" w14:textId="77777777" w:rsidR="00184A3C" w:rsidRDefault="00184A3C">
      <w:pPr>
        <w:rPr>
          <w:b/>
          <w:bCs/>
        </w:rPr>
      </w:pPr>
      <w:r>
        <w:rPr>
          <w:b/>
          <w:bCs/>
        </w:rPr>
        <w:br w:type="page"/>
      </w:r>
    </w:p>
    <w:p w14:paraId="61099166" w14:textId="4B03E7B2" w:rsidR="00184A3C" w:rsidRDefault="00184A3C" w:rsidP="00184A3C">
      <w:pPr>
        <w:pStyle w:val="Heading1"/>
      </w:pPr>
      <w:bookmarkStart w:id="17" w:name="_Toc135938266"/>
      <w:r>
        <w:t>5. Qualitative feedback</w:t>
      </w:r>
      <w:bookmarkEnd w:id="17"/>
    </w:p>
    <w:p w14:paraId="714D7DBB" w14:textId="65110EC0" w:rsidR="00E34B12" w:rsidRPr="00721047" w:rsidRDefault="003E3E2D" w:rsidP="00E34B12">
      <w:r>
        <w:t>Informed by the key facts gathered via the review of key policies and relevant data (above), the project team undertook a</w:t>
      </w:r>
      <w:r w:rsidR="00195065">
        <w:t xml:space="preserve"> </w:t>
      </w:r>
      <w:r>
        <w:t xml:space="preserve">round of </w:t>
      </w:r>
      <w:r w:rsidR="00195065">
        <w:t>interviews</w:t>
      </w:r>
      <w:r>
        <w:t xml:space="preserve"> with employers and other stakeholders</w:t>
      </w:r>
      <w:r w:rsidR="00195065">
        <w:t xml:space="preserve"> to further develop the project’s evidence base</w:t>
      </w:r>
      <w:r w:rsidR="00796DE1">
        <w:t xml:space="preserve">. Lines of enquiry to pursue with different </w:t>
      </w:r>
      <w:r w:rsidR="009F335D">
        <w:t>stakeholder groups (employers, education and training providers, other stakeholders</w:t>
      </w:r>
      <w:r w:rsidR="006F7349">
        <w:t>, as well as insights from employer networks from other parts of the country that also have a focus on clean energy</w:t>
      </w:r>
      <w:r w:rsidR="009F335D">
        <w:t xml:space="preserve">) formed the basis of semi-structured interviews. </w:t>
      </w:r>
      <w:r w:rsidR="00E32BDF">
        <w:t>While personal invitations to participate in interviews were circulated to an agreed list of stakeholders</w:t>
      </w:r>
      <w:r w:rsidR="00E34B12">
        <w:t xml:space="preserve"> (often following a request for support from Cumbria Chamber)</w:t>
      </w:r>
      <w:r w:rsidR="00E32BDF">
        <w:t xml:space="preserve">, </w:t>
      </w:r>
      <w:r w:rsidR="00796E02">
        <w:t>significant time constraints limited the project team’s ability to secure interviews on a timely basis</w:t>
      </w:r>
      <w:r w:rsidR="00E34B12">
        <w:t xml:space="preserve">. </w:t>
      </w:r>
    </w:p>
    <w:p w14:paraId="7E004341" w14:textId="7AAEEFBD" w:rsidR="003E3E2D" w:rsidRPr="00721047" w:rsidRDefault="00E34B12" w:rsidP="003E3E2D">
      <w:pPr>
        <w:tabs>
          <w:tab w:val="num" w:pos="720"/>
        </w:tabs>
      </w:pPr>
      <w:r>
        <w:t xml:space="preserve">Key themes emerging from the interviews undertaken include: </w:t>
      </w:r>
    </w:p>
    <w:p w14:paraId="006C5827" w14:textId="78E3FE9F" w:rsidR="00AF6BDA" w:rsidRDefault="00AF6BDA" w:rsidP="00E832BC">
      <w:pPr>
        <w:rPr>
          <w:b/>
          <w:bCs/>
        </w:rPr>
      </w:pPr>
      <w:r w:rsidRPr="00AF6BDA">
        <w:rPr>
          <w:b/>
          <w:bCs/>
        </w:rPr>
        <w:t>There is s</w:t>
      </w:r>
      <w:r w:rsidR="00AE3EB0" w:rsidRPr="00AF6BDA">
        <w:rPr>
          <w:b/>
          <w:bCs/>
        </w:rPr>
        <w:t>ignificant uncertainty about the nature and scale of green energy developments in Cumbria</w:t>
      </w:r>
      <w:r>
        <w:rPr>
          <w:b/>
          <w:bCs/>
        </w:rPr>
        <w:t xml:space="preserve">. </w:t>
      </w:r>
      <w:r>
        <w:t xml:space="preserve">The clean energy strategy highlights a wide range of potential opportunities but currently there are very few that appear to stand a strong chance of proceeding in the next five years. Most activity, if it occurs, will take place well after 2030 (by which time the LSIP should have been refreshed at least twice). </w:t>
      </w:r>
      <w:r w:rsidRPr="005948E1">
        <w:t>Uncertainty over the scale and ti</w:t>
      </w:r>
      <w:r w:rsidR="005948E1">
        <w:t>m</w:t>
      </w:r>
      <w:r w:rsidRPr="005948E1">
        <w:t xml:space="preserve">ing of future project means that </w:t>
      </w:r>
      <w:r w:rsidR="005948E1" w:rsidRPr="005948E1">
        <w:t>industry/provider links are inevitably less well developed in new technologies (such as hydrogen and CCUS) than in nuclear.</w:t>
      </w:r>
      <w:r w:rsidR="005948E1">
        <w:rPr>
          <w:b/>
          <w:bCs/>
        </w:rPr>
        <w:t xml:space="preserve"> </w:t>
      </w:r>
    </w:p>
    <w:p w14:paraId="23888508" w14:textId="25716294" w:rsidR="00F8442B" w:rsidRDefault="00F8442B" w:rsidP="00E832BC">
      <w:r>
        <w:rPr>
          <w:b/>
          <w:bCs/>
        </w:rPr>
        <w:t xml:space="preserve">In the absence of detailed labour market forecasts for key aspects of clean energy, </w:t>
      </w:r>
      <w:r>
        <w:t xml:space="preserve">interviewees suggested that </w:t>
      </w:r>
      <w:r w:rsidR="009F0B9F">
        <w:t>Cumbria</w:t>
      </w:r>
      <w:r>
        <w:t xml:space="preserve"> should seek to retain </w:t>
      </w:r>
      <w:r w:rsidR="00005A37">
        <w:t>its strong foundation of engineering skills – especially in roles such as welding</w:t>
      </w:r>
      <w:r w:rsidR="00004395">
        <w:t xml:space="preserve"> (level 3-4)</w:t>
      </w:r>
      <w:r w:rsidR="00005A37">
        <w:t>, electrical engineering</w:t>
      </w:r>
      <w:r w:rsidR="00004395">
        <w:t xml:space="preserve"> (</w:t>
      </w:r>
      <w:r w:rsidR="00794D3B">
        <w:t>L</w:t>
      </w:r>
      <w:r w:rsidR="00004395">
        <w:t>3-6)</w:t>
      </w:r>
      <w:r w:rsidR="00005A37">
        <w:t xml:space="preserve">, </w:t>
      </w:r>
      <w:r w:rsidR="007809E4">
        <w:t>engineering maintenance</w:t>
      </w:r>
      <w:r w:rsidR="00004395">
        <w:t xml:space="preserve"> (L3), mechanical engineering </w:t>
      </w:r>
      <w:r w:rsidR="007809E4">
        <w:t xml:space="preserve"> </w:t>
      </w:r>
      <w:r w:rsidR="00004395">
        <w:t xml:space="preserve">(L3-6) </w:t>
      </w:r>
      <w:r w:rsidR="007809E4">
        <w:t xml:space="preserve">– which will leave more residents better placed to upgrade and adapt their skills to meet the needs of new clean energy technologies. </w:t>
      </w:r>
    </w:p>
    <w:p w14:paraId="4588C12F" w14:textId="47337E42" w:rsidR="004D064B" w:rsidRDefault="004D064B" w:rsidP="004D064B">
      <w:r w:rsidRPr="005948E1">
        <w:rPr>
          <w:b/>
          <w:bCs/>
        </w:rPr>
        <w:t xml:space="preserve">Skills demands created by the operational phase of many clean energy projects </w:t>
      </w:r>
      <w:r>
        <w:rPr>
          <w:b/>
          <w:bCs/>
        </w:rPr>
        <w:t>are likely to be lower</w:t>
      </w:r>
      <w:r w:rsidR="00DA0A1F">
        <w:rPr>
          <w:b/>
          <w:bCs/>
        </w:rPr>
        <w:t xml:space="preserve"> in volume</w:t>
      </w:r>
      <w:r>
        <w:rPr>
          <w:b/>
          <w:bCs/>
        </w:rPr>
        <w:t xml:space="preserve"> than existing energy technologies.</w:t>
      </w:r>
      <w:r w:rsidRPr="006F11F1">
        <w:t xml:space="preserve"> </w:t>
      </w:r>
      <w:r>
        <w:t>Operational workforce headcounts within existing, smaller scale project</w:t>
      </w:r>
      <w:r w:rsidR="00DA0A1F">
        <w:t>s</w:t>
      </w:r>
      <w:r>
        <w:t xml:space="preserve"> appear very low. For example, developers of solar PV farms </w:t>
      </w:r>
      <w:r w:rsidRPr="006F11F1">
        <w:t>explain within their planning submissions that monthly maintenance visits is all that will be required post-construction (thus minimising disruption to local people)</w:t>
      </w:r>
      <w:r>
        <w:t xml:space="preserve">. Meanwhile the </w:t>
      </w:r>
      <w:r w:rsidRPr="006F11F1">
        <w:t>Carlton Power hydrogen plan for Barrow</w:t>
      </w:r>
      <w:r>
        <w:t xml:space="preserve"> will </w:t>
      </w:r>
      <w:r w:rsidR="002926BE">
        <w:t xml:space="preserve">create only </w:t>
      </w:r>
      <w:r w:rsidR="008F30A6">
        <w:t>three</w:t>
      </w:r>
      <w:r w:rsidR="002926BE">
        <w:t xml:space="preserve"> permanent jobs once </w:t>
      </w:r>
      <w:r w:rsidRPr="006F11F1">
        <w:t>operational</w:t>
      </w:r>
      <w:r w:rsidR="00F31904">
        <w:t xml:space="preserve">, though it should help to safeguard a larger number jobs </w:t>
      </w:r>
      <w:r w:rsidR="00184C96">
        <w:t xml:space="preserve">within other industries </w:t>
      </w:r>
      <w:r w:rsidR="00F31904">
        <w:t>that might otherwise be threatened by decarbonisation</w:t>
      </w:r>
      <w:r w:rsidRPr="006F11F1">
        <w:t xml:space="preserve">. </w:t>
      </w:r>
      <w:r>
        <w:t>Among those projects expected to move ahead, only the nuclear SMR</w:t>
      </w:r>
      <w:r w:rsidR="002926BE">
        <w:t>s</w:t>
      </w:r>
      <w:r>
        <w:t xml:space="preserve"> appear to offer the prospect of a significant ongoing labour requirement at this stage; though there is potential to generate </w:t>
      </w:r>
      <w:r w:rsidR="00A21DF0">
        <w:t>more</w:t>
      </w:r>
      <w:r>
        <w:t xml:space="preserve"> </w:t>
      </w:r>
      <w:r w:rsidR="00E8553B">
        <w:t xml:space="preserve">skilled labour </w:t>
      </w:r>
      <w:r>
        <w:t xml:space="preserve">demand via upgrades to the electric grid, CCUS and </w:t>
      </w:r>
      <w:r w:rsidR="0079798A">
        <w:t xml:space="preserve">(to a lesser degree) </w:t>
      </w:r>
      <w:r>
        <w:t xml:space="preserve">hydrogen developments. It is notable that even the large, 3.2GW plant at Hinkley Point C in Somerset appears likely to employ fewer than 1000 people once operational. </w:t>
      </w:r>
    </w:p>
    <w:p w14:paraId="3B2BE8B8" w14:textId="6B8A2BDA" w:rsidR="001B273E" w:rsidRDefault="001B273E" w:rsidP="004D064B">
      <w:r w:rsidRPr="000B176C">
        <w:rPr>
          <w:b/>
          <w:bCs/>
        </w:rPr>
        <w:t xml:space="preserve">Nuclear SMRs </w:t>
      </w:r>
      <w:r w:rsidR="000B176C" w:rsidRPr="000B176C">
        <w:rPr>
          <w:b/>
          <w:bCs/>
        </w:rPr>
        <w:t>are the most substantial project in development now</w:t>
      </w:r>
      <w:r w:rsidR="000B176C">
        <w:t xml:space="preserve">, with £400m required to secure land and the required licences before a 9-11 year construction phase (costing around £6bn) can begin. </w:t>
      </w:r>
      <w:r w:rsidR="00B21405">
        <w:t xml:space="preserve">All financing for the project, led by the Solway Community Power Company, </w:t>
      </w:r>
      <w:r w:rsidR="00672D52">
        <w:t>is in place but estimates of the construction and operational workforce are vague –</w:t>
      </w:r>
      <w:r w:rsidR="00E05F65">
        <w:t xml:space="preserve"> </w:t>
      </w:r>
      <w:r w:rsidR="00672D52">
        <w:t xml:space="preserve">numbers are likely to be in the hundreds rather than thousands. </w:t>
      </w:r>
      <w:r w:rsidR="005D0C8E">
        <w:t xml:space="preserve">Manufacture of the SMRs will be carried out off-site in three dedicated factories built by Rolls Royce, </w:t>
      </w:r>
      <w:r w:rsidR="002E5F20">
        <w:t xml:space="preserve">but this may bring supply chain opportunities for Cumbrian businesses. </w:t>
      </w:r>
      <w:r w:rsidR="00CD406E">
        <w:t xml:space="preserve">Major </w:t>
      </w:r>
      <w:r w:rsidR="006E3CEC">
        <w:t xml:space="preserve">upgrades to the national electricity grid </w:t>
      </w:r>
      <w:r w:rsidR="00CD406E">
        <w:t xml:space="preserve">may not be required </w:t>
      </w:r>
      <w:r w:rsidR="006E3CEC">
        <w:t xml:space="preserve">with an estimated 10% of SMR output being consumed by Sellafield and a further 200MW being exported to the Isle of Man via an underwater cable. </w:t>
      </w:r>
    </w:p>
    <w:p w14:paraId="7A9924E9" w14:textId="77777777" w:rsidR="00CD406E" w:rsidRPr="001B6C55" w:rsidRDefault="00CD406E" w:rsidP="00CD406E">
      <w:pPr>
        <w:rPr>
          <w:b/>
          <w:bCs/>
        </w:rPr>
      </w:pPr>
      <w:r w:rsidRPr="001B6C55">
        <w:rPr>
          <w:b/>
          <w:bCs/>
        </w:rPr>
        <w:t xml:space="preserve">Cumbria would likely benefit if employers working in clean energy </w:t>
      </w:r>
      <w:r>
        <w:rPr>
          <w:b/>
          <w:bCs/>
        </w:rPr>
        <w:t>formed</w:t>
      </w:r>
      <w:r w:rsidRPr="001B6C55">
        <w:rPr>
          <w:b/>
          <w:bCs/>
        </w:rPr>
        <w:t xml:space="preserve"> a consortium or cluster</w:t>
      </w:r>
      <w:r>
        <w:rPr>
          <w:b/>
          <w:bCs/>
        </w:rPr>
        <w:t xml:space="preserve">, </w:t>
      </w:r>
      <w:r w:rsidRPr="009E230D">
        <w:t xml:space="preserve">working closely together </w:t>
      </w:r>
      <w:r>
        <w:t>to articulate skills needs, brigade occupation and workforce development demand, and work with providers to shape education and training delivery. Arguably this is more difficult if a locality lacks a single ‘tier one’ contractor overseeing all activity, but a working group featuring key employers working in emergent clean energy technologies (</w:t>
      </w:r>
      <w:proofErr w:type="spellStart"/>
      <w:r>
        <w:t>eg.</w:t>
      </w:r>
      <w:proofErr w:type="spellEnd"/>
      <w:r>
        <w:t xml:space="preserve"> Spirit Energy, Solway Power, Rolls Royce, Carlton Power and supply chain) would be of great value. </w:t>
      </w:r>
    </w:p>
    <w:p w14:paraId="44FC970B" w14:textId="42B0AAEB" w:rsidR="00113E9B" w:rsidRDefault="00113E9B" w:rsidP="00E832BC">
      <w:r w:rsidRPr="00113E9B">
        <w:rPr>
          <w:b/>
          <w:bCs/>
        </w:rPr>
        <w:t xml:space="preserve">More bite-sized, modular </w:t>
      </w:r>
      <w:r w:rsidR="009E230D">
        <w:rPr>
          <w:b/>
          <w:bCs/>
        </w:rPr>
        <w:t xml:space="preserve">training </w:t>
      </w:r>
      <w:r w:rsidRPr="00113E9B">
        <w:rPr>
          <w:b/>
          <w:bCs/>
        </w:rPr>
        <w:t>provision may be required</w:t>
      </w:r>
      <w:r>
        <w:t xml:space="preserve"> to allow existing workers to upgrade and adapt their skills to new clean energy technologies. </w:t>
      </w:r>
      <w:r w:rsidR="00CC44D2">
        <w:t xml:space="preserve">For example, hydrogen </w:t>
      </w:r>
      <w:r w:rsidR="006D1025">
        <w:t xml:space="preserve">and wind power </w:t>
      </w:r>
      <w:r w:rsidR="00CC44D2">
        <w:t>employers are likely to need</w:t>
      </w:r>
      <w:r w:rsidR="006D1025">
        <w:t xml:space="preserve"> the existing welding workforce to</w:t>
      </w:r>
      <w:r w:rsidR="00CC44D2">
        <w:t xml:space="preserve"> </w:t>
      </w:r>
      <w:r w:rsidR="003F6A1A">
        <w:t xml:space="preserve">upgrade their skills to work on </w:t>
      </w:r>
      <w:r w:rsidR="003E1146">
        <w:t xml:space="preserve">future projects – such programmes should be readily available locally when required, on a short-course basis for existing workers to transition to clean energy. </w:t>
      </w:r>
    </w:p>
    <w:p w14:paraId="39638885" w14:textId="1D7F8D42" w:rsidR="00AE3EB0" w:rsidRPr="006F11F1" w:rsidRDefault="00794D3B" w:rsidP="00E832BC">
      <w:r>
        <w:rPr>
          <w:b/>
          <w:bCs/>
        </w:rPr>
        <w:t>There is c</w:t>
      </w:r>
      <w:r w:rsidR="00AF6BDA" w:rsidRPr="00AF6BDA">
        <w:rPr>
          <w:b/>
          <w:bCs/>
        </w:rPr>
        <w:t>oncern over</w:t>
      </w:r>
      <w:r w:rsidR="00332659">
        <w:rPr>
          <w:b/>
          <w:bCs/>
        </w:rPr>
        <w:t xml:space="preserve"> the level of</w:t>
      </w:r>
      <w:r w:rsidR="00AF6BDA" w:rsidRPr="00AF6BDA">
        <w:rPr>
          <w:b/>
          <w:bCs/>
        </w:rPr>
        <w:t xml:space="preserve"> local learner interest in clean energy careers</w:t>
      </w:r>
      <w:r w:rsidR="00AF6BDA">
        <w:t xml:space="preserve">. </w:t>
      </w:r>
      <w:r w:rsidR="00A059D2" w:rsidRPr="006F11F1">
        <w:t xml:space="preserve">Cumbria’s </w:t>
      </w:r>
      <w:r w:rsidR="000C3417">
        <w:t>population is</w:t>
      </w:r>
      <w:r w:rsidR="003E05D0">
        <w:t xml:space="preserve"> ageing and</w:t>
      </w:r>
      <w:r w:rsidR="000C3417">
        <w:t xml:space="preserve"> declining</w:t>
      </w:r>
      <w:r w:rsidR="00D119A0">
        <w:t xml:space="preserve">, reducing the available labour pool. Anecdotal feedback indicates that interest in </w:t>
      </w:r>
      <w:r w:rsidR="00A059D2" w:rsidRPr="006F11F1">
        <w:t xml:space="preserve">careers in energy in the local area </w:t>
      </w:r>
      <w:r w:rsidR="00D119A0">
        <w:t xml:space="preserve">may also be on the wane. </w:t>
      </w:r>
      <w:r w:rsidR="00526EF8">
        <w:t xml:space="preserve">Given </w:t>
      </w:r>
      <w:r w:rsidR="009F0B9F">
        <w:t xml:space="preserve">ongoing </w:t>
      </w:r>
      <w:r w:rsidR="00526EF8">
        <w:t xml:space="preserve">high levels of </w:t>
      </w:r>
      <w:r w:rsidR="009F0B9F">
        <w:t xml:space="preserve">skilled labour </w:t>
      </w:r>
      <w:r w:rsidR="000B7776">
        <w:t xml:space="preserve">demand from BAE Systems and Sellafield, any growth in demand arising from new forms of clean energy could result in employers facing significant skills shortages when recruiting, unless more can be done to increase the flow of local people pursuing a career in the energy sector. </w:t>
      </w:r>
    </w:p>
    <w:p w14:paraId="47CC82F1" w14:textId="0BF6BC44" w:rsidR="00BF7241" w:rsidRPr="006F11F1" w:rsidRDefault="00BF7241" w:rsidP="00E832BC">
      <w:r w:rsidRPr="00AC212B">
        <w:rPr>
          <w:b/>
          <w:bCs/>
        </w:rPr>
        <w:t xml:space="preserve">There is scepticism that </w:t>
      </w:r>
      <w:r w:rsidR="00681791" w:rsidRPr="00AC212B">
        <w:rPr>
          <w:b/>
          <w:bCs/>
        </w:rPr>
        <w:t xml:space="preserve">the Lifelong Loan Entitlement </w:t>
      </w:r>
      <w:r w:rsidR="00D119C8" w:rsidRPr="00AC212B">
        <w:rPr>
          <w:b/>
          <w:bCs/>
        </w:rPr>
        <w:t xml:space="preserve">will spur growth in higher learning by </w:t>
      </w:r>
      <w:r w:rsidR="00AC212B" w:rsidRPr="00AC212B">
        <w:rPr>
          <w:b/>
          <w:bCs/>
        </w:rPr>
        <w:t>Cumbria residents</w:t>
      </w:r>
      <w:r w:rsidR="00AC212B">
        <w:t>. The LLE will provide</w:t>
      </w:r>
      <w:r w:rsidR="00681791" w:rsidRPr="006F11F1">
        <w:t xml:space="preserve"> all adults with </w:t>
      </w:r>
      <w:r w:rsidR="002A7BA9" w:rsidRPr="006F11F1">
        <w:t xml:space="preserve">access to a loan </w:t>
      </w:r>
      <w:r w:rsidR="009E5E65" w:rsidRPr="006F11F1">
        <w:t xml:space="preserve">to the </w:t>
      </w:r>
      <w:r w:rsidR="00681791" w:rsidRPr="006F11F1">
        <w:t xml:space="preserve">equivalent of four years’ </w:t>
      </w:r>
      <w:r w:rsidR="009E5E65" w:rsidRPr="006F11F1">
        <w:t>post-18 education, for use by the age of 60</w:t>
      </w:r>
      <w:r w:rsidR="00AC212B">
        <w:t>. But l</w:t>
      </w:r>
      <w:r w:rsidR="009E5E65" w:rsidRPr="006F11F1">
        <w:t xml:space="preserve">arger employers in the county more commonly sponsor employees to obtain higher education qualifications, rather than expecting employees to self-fund. </w:t>
      </w:r>
    </w:p>
    <w:p w14:paraId="7D54E27B" w14:textId="7B98AAE6" w:rsidR="000A1ACF" w:rsidRDefault="000A1ACF" w:rsidP="00E832BC">
      <w:r w:rsidRPr="00AC212B">
        <w:rPr>
          <w:b/>
          <w:bCs/>
        </w:rPr>
        <w:t xml:space="preserve">Providers face significant and seemingly growing barriers to recruiting and retaining staff </w:t>
      </w:r>
      <w:r w:rsidRPr="00C97AD7">
        <w:t>with the specialist skills required to teach new green technologies.</w:t>
      </w:r>
      <w:r w:rsidRPr="006F11F1">
        <w:t xml:space="preserve"> This is a long-standing problem, whereby staff with relevant skills can earn more in industry than in a teaching role</w:t>
      </w:r>
      <w:r w:rsidR="0007239D">
        <w:t xml:space="preserve"> and may intensify if new clean energy projects </w:t>
      </w:r>
      <w:r w:rsidR="00434482">
        <w:t>seek the same skillsets and knowledge as those that are highly prized among teaching staff</w:t>
      </w:r>
      <w:r w:rsidR="00232447">
        <w:t>.</w:t>
      </w:r>
    </w:p>
    <w:p w14:paraId="6353EA73" w14:textId="77777777" w:rsidR="00087305" w:rsidRPr="00F8442B" w:rsidRDefault="00087305" w:rsidP="00087305">
      <w:r w:rsidRPr="00574FFF">
        <w:rPr>
          <w:b/>
          <w:bCs/>
        </w:rPr>
        <w:t>There may be a need for education and training providers to engage with the manufacturers of the key technologies</w:t>
      </w:r>
      <w:r>
        <w:t xml:space="preserve"> that will be deployed via clean energy projects in Cumbria. This will help ensure that local providers understand and are able to operate the critical infrastructure for clean energy, potentially engaging manufacturers (many of whom are based overseas) in the development and delivery of relevant training. </w:t>
      </w:r>
    </w:p>
    <w:p w14:paraId="3C21F769" w14:textId="2C7B1BCD" w:rsidR="00294037" w:rsidRDefault="00294037" w:rsidP="00E832BC">
      <w:r w:rsidRPr="00294037">
        <w:rPr>
          <w:b/>
          <w:bCs/>
        </w:rPr>
        <w:t xml:space="preserve">There is likely to be </w:t>
      </w:r>
      <w:r w:rsidR="00C97AD7">
        <w:rPr>
          <w:b/>
          <w:bCs/>
        </w:rPr>
        <w:t xml:space="preserve">a </w:t>
      </w:r>
      <w:r w:rsidRPr="00294037">
        <w:rPr>
          <w:b/>
          <w:bCs/>
        </w:rPr>
        <w:t xml:space="preserve">workforce development requirement </w:t>
      </w:r>
      <w:r w:rsidR="00C97AD7">
        <w:rPr>
          <w:b/>
          <w:bCs/>
        </w:rPr>
        <w:t>for</w:t>
      </w:r>
      <w:r w:rsidRPr="00294037">
        <w:rPr>
          <w:b/>
          <w:bCs/>
        </w:rPr>
        <w:t xml:space="preserve"> local public sector bodies</w:t>
      </w:r>
      <w:r>
        <w:t>, who have a critical role to play in fostering and supporting the growth of clean energy in Cumbria. There is a risk tha</w:t>
      </w:r>
      <w:r w:rsidR="00610591">
        <w:t>t an ageing workforce in areas such as planning, economic development and environmental health will lead to a loss of knowledge and skills as current staff retire. Funding constraints may limit the ability of local authorities and other public bodies to recruit and retain staff with knowledge about how clean energy works and what is required to help it grow in Cumbria</w:t>
      </w:r>
      <w:r w:rsidR="00C94958">
        <w:t xml:space="preserve"> (connected to planning issues and future grid capacity)</w:t>
      </w:r>
      <w:r w:rsidR="00610591">
        <w:t xml:space="preserve">. </w:t>
      </w:r>
    </w:p>
    <w:p w14:paraId="5772D6CC" w14:textId="77777777" w:rsidR="00184A3C" w:rsidRDefault="00184A3C" w:rsidP="00E832BC">
      <w:pPr>
        <w:rPr>
          <w:b/>
          <w:bCs/>
        </w:rPr>
      </w:pPr>
    </w:p>
    <w:p w14:paraId="73DE9365" w14:textId="77777777" w:rsidR="00835422" w:rsidRDefault="00835422" w:rsidP="00E832BC">
      <w:pPr>
        <w:rPr>
          <w:b/>
          <w:bCs/>
        </w:rPr>
      </w:pPr>
    </w:p>
    <w:p w14:paraId="1A854A53" w14:textId="77777777" w:rsidR="00835422" w:rsidRDefault="00835422">
      <w:pPr>
        <w:rPr>
          <w:b/>
          <w:bCs/>
        </w:rPr>
      </w:pPr>
      <w:r>
        <w:rPr>
          <w:b/>
          <w:bCs/>
        </w:rPr>
        <w:br w:type="page"/>
      </w:r>
    </w:p>
    <w:p w14:paraId="654E9812" w14:textId="1523F579" w:rsidR="00835422" w:rsidRDefault="00835422" w:rsidP="00835422">
      <w:pPr>
        <w:pStyle w:val="Heading1"/>
      </w:pPr>
      <w:bookmarkStart w:id="18" w:name="_Toc135938267"/>
      <w:r>
        <w:t>6. Analysis</w:t>
      </w:r>
      <w:r w:rsidR="00535A9A">
        <w:t xml:space="preserve"> and conclusions</w:t>
      </w:r>
      <w:bookmarkEnd w:id="18"/>
    </w:p>
    <w:p w14:paraId="19CF292B" w14:textId="2E7F0C79" w:rsidR="00835422" w:rsidRDefault="00384F38" w:rsidP="00E832BC">
      <w:r>
        <w:t xml:space="preserve">There is clearly very significant potential for clean energy to play a major part in Cumbria’s future economic success. </w:t>
      </w:r>
      <w:r w:rsidR="00DB3719">
        <w:t>The county is extremely well placed to capitalise on clean energy developments across several technologies</w:t>
      </w:r>
      <w:r w:rsidR="00C10D4F">
        <w:t xml:space="preserve"> and the availability of skilled labour has the potential to create a significant market advantage for Cumbria when competing with other places for key developments. </w:t>
      </w:r>
    </w:p>
    <w:p w14:paraId="7A876265" w14:textId="3FC1E7F9" w:rsidR="00A0341B" w:rsidRDefault="00A0341B" w:rsidP="00A0341B">
      <w:pPr>
        <w:pStyle w:val="Heading2"/>
      </w:pPr>
      <w:bookmarkStart w:id="19" w:name="_Toc135938268"/>
      <w:r>
        <w:t>6.1 Clean energy scenarios for Cumbria</w:t>
      </w:r>
      <w:bookmarkEnd w:id="19"/>
    </w:p>
    <w:p w14:paraId="232DD665" w14:textId="7E1F51C5" w:rsidR="00A0341B" w:rsidRDefault="00CB0D4D" w:rsidP="00E832BC">
      <w:r>
        <w:t>T</w:t>
      </w:r>
      <w:r w:rsidR="00A0341B">
        <w:t xml:space="preserve">he phasing of these developments suggests that activity will likely peak in the early 2030s, well beyond the lifespan of this LSIP. Summarised below is an attempt to plot the most likely trajectory of clean energy developments in Cumbria, based on a ‘low’ scenario (which captures only those projects already in the planning or development stage) and a ‘high’ scenario, which seeks to capture the myriad of potential projects highlighted in the Cumbria Clean energy strategy. </w:t>
      </w:r>
    </w:p>
    <w:p w14:paraId="2BE925C3" w14:textId="7B1E11F5" w:rsidR="00A0341B" w:rsidRPr="00A0341B" w:rsidRDefault="00A0341B" w:rsidP="00E832BC">
      <w:pPr>
        <w:rPr>
          <w:b/>
          <w:bCs/>
          <w:sz w:val="20"/>
          <w:szCs w:val="20"/>
        </w:rPr>
      </w:pPr>
      <w:r w:rsidRPr="00A0341B">
        <w:rPr>
          <w:b/>
          <w:bCs/>
          <w:sz w:val="20"/>
          <w:szCs w:val="20"/>
        </w:rPr>
        <w:t xml:space="preserve">Figure </w:t>
      </w:r>
      <w:r w:rsidR="00F53486">
        <w:rPr>
          <w:b/>
          <w:bCs/>
          <w:sz w:val="20"/>
          <w:szCs w:val="20"/>
        </w:rPr>
        <w:t>9</w:t>
      </w:r>
      <w:r w:rsidRPr="00A0341B">
        <w:rPr>
          <w:b/>
          <w:bCs/>
          <w:sz w:val="20"/>
          <w:szCs w:val="20"/>
        </w:rPr>
        <w:t>: ‘Low scenario’ growth of clean energy in Cumbria</w:t>
      </w:r>
    </w:p>
    <w:tbl>
      <w:tblPr>
        <w:tblW w:w="0" w:type="auto"/>
        <w:tblLayout w:type="fixed"/>
        <w:tblCellMar>
          <w:left w:w="0" w:type="dxa"/>
          <w:right w:w="0" w:type="dxa"/>
        </w:tblCellMar>
        <w:tblLook w:val="04A0" w:firstRow="1" w:lastRow="0" w:firstColumn="1" w:lastColumn="0" w:noHBand="0" w:noVBand="1"/>
      </w:tblPr>
      <w:tblGrid>
        <w:gridCol w:w="846"/>
        <w:gridCol w:w="2410"/>
        <w:gridCol w:w="992"/>
        <w:gridCol w:w="567"/>
        <w:gridCol w:w="280"/>
        <w:gridCol w:w="145"/>
        <w:gridCol w:w="344"/>
        <w:gridCol w:w="264"/>
        <w:gridCol w:w="87"/>
        <w:gridCol w:w="705"/>
        <w:gridCol w:w="415"/>
        <w:gridCol w:w="113"/>
        <w:gridCol w:w="264"/>
        <w:gridCol w:w="792"/>
        <w:gridCol w:w="231"/>
        <w:gridCol w:w="561"/>
      </w:tblGrid>
      <w:tr w:rsidR="007A3262" w:rsidRPr="00DF49B4" w14:paraId="2CE89D1F" w14:textId="77777777" w:rsidTr="009A7A1B">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C703" w14:textId="77777777" w:rsidR="007A3262" w:rsidRPr="00B452A7" w:rsidRDefault="007A3262" w:rsidP="00B452A7">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 </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C605DA" w14:textId="58F6C5BD" w:rsidR="007A3262" w:rsidRPr="00B452A7" w:rsidRDefault="007A3262" w:rsidP="00540919">
            <w:pPr>
              <w:spacing w:after="0" w:line="240" w:lineRule="auto"/>
              <w:jc w:val="center"/>
              <w:rPr>
                <w:rFonts w:ascii="Calibri" w:eastAsia="Times New Roman" w:hAnsi="Calibri" w:cs="Calibri"/>
                <w:b/>
                <w:bCs/>
                <w:color w:val="000000"/>
                <w:kern w:val="0"/>
                <w:sz w:val="18"/>
                <w:szCs w:val="18"/>
                <w:lang w:eastAsia="en-GB"/>
                <w14:ligatures w14:val="none"/>
              </w:rPr>
            </w:pPr>
            <w:r w:rsidRPr="00B452A7">
              <w:rPr>
                <w:rFonts w:ascii="Calibri" w:eastAsia="Times New Roman" w:hAnsi="Calibri" w:cs="Calibri"/>
                <w:b/>
                <w:bCs/>
                <w:color w:val="000000"/>
                <w:kern w:val="0"/>
                <w:sz w:val="18"/>
                <w:szCs w:val="18"/>
                <w:lang w:eastAsia="en-GB"/>
                <w14:ligatures w14:val="none"/>
              </w:rPr>
              <w:t xml:space="preserve">LSIP report </w:t>
            </w:r>
            <w:r w:rsidR="00540919" w:rsidRPr="00477FE1">
              <w:rPr>
                <w:rFonts w:ascii="Calibri" w:eastAsia="Times New Roman" w:hAnsi="Calibri" w:cs="Calibri"/>
                <w:b/>
                <w:bCs/>
                <w:color w:val="000000"/>
                <w:kern w:val="0"/>
                <w:sz w:val="18"/>
                <w:szCs w:val="18"/>
                <w:lang w:eastAsia="en-GB"/>
                <w14:ligatures w14:val="none"/>
              </w:rPr>
              <w:t>version</w:t>
            </w:r>
          </w:p>
        </w:tc>
        <w:tc>
          <w:tcPr>
            <w:tcW w:w="1033" w:type="dxa"/>
            <w:gridSpan w:val="4"/>
            <w:tcBorders>
              <w:top w:val="single" w:sz="4" w:space="0" w:color="auto"/>
              <w:left w:val="nil"/>
              <w:bottom w:val="single" w:sz="4" w:space="0" w:color="auto"/>
              <w:right w:val="single" w:sz="4" w:space="0" w:color="auto"/>
            </w:tcBorders>
            <w:shd w:val="clear" w:color="000000" w:fill="FFFF00"/>
            <w:noWrap/>
            <w:vAlign w:val="center"/>
            <w:hideMark/>
          </w:tcPr>
          <w:p w14:paraId="65DB5702" w14:textId="77777777" w:rsidR="007A3262" w:rsidRPr="00B452A7" w:rsidRDefault="007A3262" w:rsidP="00540919">
            <w:pPr>
              <w:spacing w:after="0" w:line="240" w:lineRule="auto"/>
              <w:jc w:val="center"/>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Version 1</w:t>
            </w:r>
          </w:p>
        </w:tc>
        <w:tc>
          <w:tcPr>
            <w:tcW w:w="792"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AA5C743" w14:textId="77777777" w:rsidR="007A3262" w:rsidRPr="00B452A7" w:rsidRDefault="007A3262" w:rsidP="00540919">
            <w:pPr>
              <w:spacing w:after="0" w:line="240" w:lineRule="auto"/>
              <w:jc w:val="center"/>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Version 2</w:t>
            </w:r>
          </w:p>
        </w:tc>
        <w:tc>
          <w:tcPr>
            <w:tcW w:w="79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4DA1F85" w14:textId="77777777" w:rsidR="007A3262" w:rsidRPr="00B452A7" w:rsidRDefault="007A3262" w:rsidP="00540919">
            <w:pPr>
              <w:spacing w:after="0" w:line="240" w:lineRule="auto"/>
              <w:jc w:val="center"/>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Version 3</w:t>
            </w:r>
          </w:p>
        </w:tc>
        <w:tc>
          <w:tcPr>
            <w:tcW w:w="792" w:type="dxa"/>
            <w:tcBorders>
              <w:top w:val="single" w:sz="4" w:space="0" w:color="auto"/>
              <w:left w:val="nil"/>
              <w:bottom w:val="single" w:sz="4" w:space="0" w:color="auto"/>
              <w:right w:val="single" w:sz="4" w:space="0" w:color="auto"/>
            </w:tcBorders>
            <w:shd w:val="clear" w:color="000000" w:fill="FFFF00"/>
            <w:noWrap/>
            <w:vAlign w:val="center"/>
            <w:hideMark/>
          </w:tcPr>
          <w:p w14:paraId="2EF8046A" w14:textId="77777777" w:rsidR="007A3262" w:rsidRPr="00B452A7" w:rsidRDefault="007A3262" w:rsidP="00540919">
            <w:pPr>
              <w:spacing w:after="0" w:line="240" w:lineRule="auto"/>
              <w:jc w:val="center"/>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Version 4</w:t>
            </w:r>
          </w:p>
        </w:tc>
        <w:tc>
          <w:tcPr>
            <w:tcW w:w="792"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BCE1AD7" w14:textId="77777777" w:rsidR="007A3262" w:rsidRPr="00B452A7" w:rsidRDefault="007A3262" w:rsidP="00540919">
            <w:pPr>
              <w:spacing w:after="0" w:line="240" w:lineRule="auto"/>
              <w:jc w:val="center"/>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Version 5</w:t>
            </w:r>
          </w:p>
        </w:tc>
      </w:tr>
      <w:tr w:rsidR="006B309F" w:rsidRPr="00DF49B4" w14:paraId="231E954B" w14:textId="77777777" w:rsidTr="009A7A1B">
        <w:trPr>
          <w:trHeight w:val="290"/>
        </w:trPr>
        <w:tc>
          <w:tcPr>
            <w:tcW w:w="846" w:type="dxa"/>
            <w:tcBorders>
              <w:top w:val="nil"/>
              <w:left w:val="single" w:sz="4" w:space="0" w:color="auto"/>
              <w:bottom w:val="single" w:sz="4" w:space="0" w:color="auto"/>
              <w:right w:val="single" w:sz="4" w:space="0" w:color="auto"/>
            </w:tcBorders>
            <w:shd w:val="clear" w:color="000000" w:fill="D9D9D9"/>
            <w:noWrap/>
            <w:vAlign w:val="bottom"/>
            <w:hideMark/>
          </w:tcPr>
          <w:p w14:paraId="72E08134" w14:textId="5445CB35" w:rsidR="006B309F" w:rsidRPr="00B452A7" w:rsidRDefault="006B309F" w:rsidP="00B452A7">
            <w:pPr>
              <w:spacing w:after="0" w:line="240" w:lineRule="auto"/>
              <w:rPr>
                <w:rFonts w:ascii="Calibri" w:eastAsia="Times New Roman" w:hAnsi="Calibri" w:cs="Calibri"/>
                <w:b/>
                <w:bCs/>
                <w:color w:val="000000"/>
                <w:kern w:val="0"/>
                <w:sz w:val="18"/>
                <w:szCs w:val="18"/>
                <w:lang w:eastAsia="en-GB"/>
                <w14:ligatures w14:val="none"/>
              </w:rPr>
            </w:pPr>
            <w:r w:rsidRPr="00DF49B4">
              <w:rPr>
                <w:rFonts w:ascii="Calibri" w:eastAsia="Times New Roman" w:hAnsi="Calibri" w:cs="Calibri"/>
                <w:b/>
                <w:bCs/>
                <w:color w:val="000000"/>
                <w:kern w:val="0"/>
                <w:sz w:val="18"/>
                <w:szCs w:val="18"/>
                <w:lang w:eastAsia="en-GB"/>
                <w14:ligatures w14:val="none"/>
              </w:rPr>
              <w:t>Tech</w:t>
            </w:r>
          </w:p>
        </w:tc>
        <w:tc>
          <w:tcPr>
            <w:tcW w:w="2410" w:type="dxa"/>
            <w:tcBorders>
              <w:top w:val="nil"/>
              <w:left w:val="nil"/>
              <w:bottom w:val="single" w:sz="4" w:space="0" w:color="auto"/>
              <w:right w:val="single" w:sz="4" w:space="0" w:color="auto"/>
            </w:tcBorders>
            <w:shd w:val="clear" w:color="000000" w:fill="D9D9D9"/>
            <w:noWrap/>
            <w:vAlign w:val="bottom"/>
            <w:hideMark/>
          </w:tcPr>
          <w:p w14:paraId="29C9AB04" w14:textId="77777777" w:rsidR="006B309F" w:rsidRPr="00B452A7" w:rsidRDefault="006B309F" w:rsidP="00B452A7">
            <w:pPr>
              <w:spacing w:after="0" w:line="240" w:lineRule="auto"/>
              <w:rPr>
                <w:rFonts w:ascii="Calibri" w:eastAsia="Times New Roman" w:hAnsi="Calibri" w:cs="Calibri"/>
                <w:b/>
                <w:bCs/>
                <w:color w:val="000000"/>
                <w:kern w:val="0"/>
                <w:sz w:val="18"/>
                <w:szCs w:val="18"/>
                <w:lang w:eastAsia="en-GB"/>
                <w14:ligatures w14:val="none"/>
              </w:rPr>
            </w:pPr>
            <w:r w:rsidRPr="00B452A7">
              <w:rPr>
                <w:rFonts w:ascii="Calibri" w:eastAsia="Times New Roman" w:hAnsi="Calibri" w:cs="Calibri"/>
                <w:b/>
                <w:bCs/>
                <w:color w:val="000000"/>
                <w:kern w:val="0"/>
                <w:sz w:val="18"/>
                <w:szCs w:val="18"/>
                <w:lang w:eastAsia="en-GB"/>
                <w14:ligatures w14:val="none"/>
              </w:rPr>
              <w:t>Project</w:t>
            </w:r>
          </w:p>
        </w:tc>
        <w:tc>
          <w:tcPr>
            <w:tcW w:w="992" w:type="dxa"/>
            <w:tcBorders>
              <w:top w:val="nil"/>
              <w:left w:val="nil"/>
              <w:bottom w:val="single" w:sz="4" w:space="0" w:color="auto"/>
              <w:right w:val="single" w:sz="4" w:space="0" w:color="auto"/>
            </w:tcBorders>
            <w:shd w:val="clear" w:color="000000" w:fill="D9D9D9"/>
            <w:noWrap/>
            <w:vAlign w:val="bottom"/>
            <w:hideMark/>
          </w:tcPr>
          <w:p w14:paraId="38B28D7F" w14:textId="77777777" w:rsidR="006B309F" w:rsidRPr="00B452A7" w:rsidRDefault="006B309F" w:rsidP="00B452A7">
            <w:pPr>
              <w:spacing w:after="0" w:line="240" w:lineRule="auto"/>
              <w:rPr>
                <w:rFonts w:ascii="Calibri" w:eastAsia="Times New Roman" w:hAnsi="Calibri" w:cs="Calibri"/>
                <w:b/>
                <w:bCs/>
                <w:color w:val="000000"/>
                <w:kern w:val="0"/>
                <w:sz w:val="18"/>
                <w:szCs w:val="18"/>
                <w:lang w:eastAsia="en-GB"/>
                <w14:ligatures w14:val="none"/>
              </w:rPr>
            </w:pPr>
            <w:r w:rsidRPr="00B452A7">
              <w:rPr>
                <w:rFonts w:ascii="Calibri" w:eastAsia="Times New Roman" w:hAnsi="Calibri" w:cs="Calibri"/>
                <w:b/>
                <w:bCs/>
                <w:color w:val="000000"/>
                <w:kern w:val="0"/>
                <w:sz w:val="18"/>
                <w:szCs w:val="18"/>
                <w:lang w:eastAsia="en-GB"/>
                <w14:ligatures w14:val="none"/>
              </w:rPr>
              <w:t>Confidence (RAG)</w:t>
            </w:r>
          </w:p>
        </w:tc>
        <w:tc>
          <w:tcPr>
            <w:tcW w:w="567" w:type="dxa"/>
            <w:tcBorders>
              <w:top w:val="nil"/>
              <w:left w:val="nil"/>
              <w:bottom w:val="single" w:sz="4" w:space="0" w:color="auto"/>
              <w:right w:val="single" w:sz="4" w:space="0" w:color="auto"/>
            </w:tcBorders>
            <w:shd w:val="clear" w:color="000000" w:fill="D9D9D9"/>
            <w:noWrap/>
            <w:vAlign w:val="bottom"/>
            <w:hideMark/>
          </w:tcPr>
          <w:p w14:paraId="34EB2132" w14:textId="77777777" w:rsidR="006B309F" w:rsidRPr="00B452A7" w:rsidRDefault="006B309F" w:rsidP="00B452A7">
            <w:pPr>
              <w:spacing w:after="0" w:line="240" w:lineRule="auto"/>
              <w:rPr>
                <w:rFonts w:ascii="Calibri" w:eastAsia="Times New Roman" w:hAnsi="Calibri" w:cs="Calibri"/>
                <w:b/>
                <w:bCs/>
                <w:color w:val="000000"/>
                <w:kern w:val="0"/>
                <w:sz w:val="18"/>
                <w:szCs w:val="18"/>
                <w:lang w:eastAsia="en-GB"/>
                <w14:ligatures w14:val="none"/>
              </w:rPr>
            </w:pPr>
            <w:r w:rsidRPr="00B452A7">
              <w:rPr>
                <w:rFonts w:ascii="Calibri" w:eastAsia="Times New Roman" w:hAnsi="Calibri" w:cs="Calibri"/>
                <w:b/>
                <w:bCs/>
                <w:color w:val="000000"/>
                <w:kern w:val="0"/>
                <w:sz w:val="18"/>
                <w:szCs w:val="18"/>
                <w:lang w:eastAsia="en-GB"/>
                <w14:ligatures w14:val="none"/>
              </w:rPr>
              <w:t>Value</w:t>
            </w:r>
          </w:p>
        </w:tc>
        <w:tc>
          <w:tcPr>
            <w:tcW w:w="1033" w:type="dxa"/>
            <w:gridSpan w:val="4"/>
            <w:tcBorders>
              <w:top w:val="nil"/>
              <w:left w:val="nil"/>
              <w:bottom w:val="single" w:sz="4" w:space="0" w:color="auto"/>
              <w:right w:val="single" w:sz="4" w:space="0" w:color="auto"/>
            </w:tcBorders>
            <w:shd w:val="clear" w:color="000000" w:fill="D9D9D9"/>
            <w:noWrap/>
            <w:vAlign w:val="bottom"/>
            <w:hideMark/>
          </w:tcPr>
          <w:p w14:paraId="11A41351" w14:textId="4B77AA1D" w:rsidR="006B309F" w:rsidRPr="00B452A7" w:rsidRDefault="006B309F" w:rsidP="00B452A7">
            <w:pPr>
              <w:spacing w:after="0" w:line="240" w:lineRule="auto"/>
              <w:jc w:val="right"/>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2023-25</w:t>
            </w:r>
          </w:p>
        </w:tc>
        <w:tc>
          <w:tcPr>
            <w:tcW w:w="792" w:type="dxa"/>
            <w:gridSpan w:val="2"/>
            <w:tcBorders>
              <w:top w:val="nil"/>
              <w:left w:val="nil"/>
              <w:bottom w:val="single" w:sz="4" w:space="0" w:color="auto"/>
              <w:right w:val="single" w:sz="4" w:space="0" w:color="auto"/>
            </w:tcBorders>
            <w:shd w:val="clear" w:color="000000" w:fill="D9D9D9"/>
            <w:noWrap/>
            <w:vAlign w:val="bottom"/>
            <w:hideMark/>
          </w:tcPr>
          <w:p w14:paraId="0050177C" w14:textId="48C5ED2E" w:rsidR="006B309F" w:rsidRPr="00B452A7" w:rsidRDefault="006B309F" w:rsidP="006B309F">
            <w:pPr>
              <w:spacing w:after="0" w:line="240" w:lineRule="auto"/>
              <w:jc w:val="right"/>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2026-28</w:t>
            </w:r>
          </w:p>
        </w:tc>
        <w:tc>
          <w:tcPr>
            <w:tcW w:w="792" w:type="dxa"/>
            <w:gridSpan w:val="3"/>
            <w:tcBorders>
              <w:top w:val="nil"/>
              <w:left w:val="nil"/>
              <w:bottom w:val="single" w:sz="4" w:space="0" w:color="auto"/>
              <w:right w:val="single" w:sz="4" w:space="0" w:color="auto"/>
            </w:tcBorders>
            <w:shd w:val="clear" w:color="000000" w:fill="D9D9D9"/>
            <w:noWrap/>
            <w:vAlign w:val="bottom"/>
            <w:hideMark/>
          </w:tcPr>
          <w:p w14:paraId="4B704A97" w14:textId="6C28E4F6" w:rsidR="006B309F" w:rsidRPr="00B452A7" w:rsidRDefault="006B309F" w:rsidP="00B452A7">
            <w:pPr>
              <w:spacing w:after="0" w:line="240" w:lineRule="auto"/>
              <w:jc w:val="right"/>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2029-31</w:t>
            </w:r>
          </w:p>
        </w:tc>
        <w:tc>
          <w:tcPr>
            <w:tcW w:w="792" w:type="dxa"/>
            <w:tcBorders>
              <w:top w:val="nil"/>
              <w:left w:val="nil"/>
              <w:bottom w:val="single" w:sz="4" w:space="0" w:color="auto"/>
              <w:right w:val="single" w:sz="4" w:space="0" w:color="auto"/>
            </w:tcBorders>
            <w:shd w:val="clear" w:color="000000" w:fill="D9D9D9"/>
            <w:noWrap/>
            <w:vAlign w:val="bottom"/>
            <w:hideMark/>
          </w:tcPr>
          <w:p w14:paraId="5A778A37" w14:textId="2FA895AE" w:rsidR="006B309F" w:rsidRPr="00B452A7" w:rsidRDefault="006B309F" w:rsidP="00B452A7">
            <w:pPr>
              <w:spacing w:after="0" w:line="240" w:lineRule="auto"/>
              <w:jc w:val="right"/>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2032-34</w:t>
            </w:r>
          </w:p>
        </w:tc>
        <w:tc>
          <w:tcPr>
            <w:tcW w:w="792" w:type="dxa"/>
            <w:gridSpan w:val="2"/>
            <w:tcBorders>
              <w:top w:val="nil"/>
              <w:left w:val="nil"/>
              <w:bottom w:val="single" w:sz="4" w:space="0" w:color="auto"/>
              <w:right w:val="single" w:sz="4" w:space="0" w:color="auto"/>
            </w:tcBorders>
            <w:shd w:val="clear" w:color="000000" w:fill="D9D9D9"/>
            <w:noWrap/>
            <w:vAlign w:val="bottom"/>
            <w:hideMark/>
          </w:tcPr>
          <w:p w14:paraId="2846119E" w14:textId="6538EC13" w:rsidR="006B309F" w:rsidRPr="00B452A7" w:rsidRDefault="006B309F" w:rsidP="00B452A7">
            <w:pPr>
              <w:spacing w:after="0" w:line="240" w:lineRule="auto"/>
              <w:jc w:val="right"/>
              <w:rPr>
                <w:rFonts w:ascii="Calibri" w:eastAsia="Times New Roman" w:hAnsi="Calibri" w:cs="Calibri"/>
                <w:b/>
                <w:bCs/>
                <w:color w:val="000000"/>
                <w:kern w:val="0"/>
                <w:sz w:val="18"/>
                <w:szCs w:val="18"/>
                <w:lang w:eastAsia="en-GB"/>
                <w14:ligatures w14:val="none"/>
              </w:rPr>
            </w:pPr>
            <w:r>
              <w:rPr>
                <w:rFonts w:ascii="Calibri" w:eastAsia="Times New Roman" w:hAnsi="Calibri" w:cs="Calibri"/>
                <w:b/>
                <w:bCs/>
                <w:color w:val="000000"/>
                <w:kern w:val="0"/>
                <w:sz w:val="18"/>
                <w:szCs w:val="18"/>
                <w:lang w:eastAsia="en-GB"/>
                <w14:ligatures w14:val="none"/>
              </w:rPr>
              <w:t>2035-37</w:t>
            </w:r>
          </w:p>
        </w:tc>
      </w:tr>
      <w:tr w:rsidR="00A73928" w:rsidRPr="00DF49B4" w14:paraId="7FADD025" w14:textId="77777777" w:rsidTr="00061784">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522F3E" w14:textId="77777777" w:rsidR="00A73928" w:rsidRPr="00B452A7" w:rsidRDefault="00A73928" w:rsidP="00B452A7">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Nuclear</w:t>
            </w:r>
          </w:p>
        </w:tc>
        <w:tc>
          <w:tcPr>
            <w:tcW w:w="2410" w:type="dxa"/>
            <w:tcBorders>
              <w:top w:val="nil"/>
              <w:left w:val="nil"/>
              <w:bottom w:val="single" w:sz="4" w:space="0" w:color="auto"/>
              <w:right w:val="single" w:sz="4" w:space="0" w:color="auto"/>
            </w:tcBorders>
            <w:shd w:val="clear" w:color="auto" w:fill="auto"/>
            <w:noWrap/>
            <w:vAlign w:val="bottom"/>
            <w:hideMark/>
          </w:tcPr>
          <w:p w14:paraId="56EB44EC" w14:textId="77777777" w:rsidR="00A73928" w:rsidRPr="00B452A7" w:rsidRDefault="00A73928" w:rsidP="00B452A7">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Sizewell C</w:t>
            </w:r>
          </w:p>
        </w:tc>
        <w:tc>
          <w:tcPr>
            <w:tcW w:w="992" w:type="dxa"/>
            <w:tcBorders>
              <w:top w:val="nil"/>
              <w:left w:val="nil"/>
              <w:bottom w:val="single" w:sz="4" w:space="0" w:color="auto"/>
              <w:right w:val="nil"/>
            </w:tcBorders>
            <w:shd w:val="clear" w:color="auto" w:fill="auto"/>
            <w:noWrap/>
            <w:vAlign w:val="center"/>
            <w:hideMark/>
          </w:tcPr>
          <w:p w14:paraId="1AC0050D" w14:textId="77777777" w:rsidR="00A73928" w:rsidRPr="00B452A7" w:rsidRDefault="00A73928" w:rsidP="001924AD">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Amber</w:t>
            </w:r>
          </w:p>
        </w:tc>
        <w:tc>
          <w:tcPr>
            <w:tcW w:w="567" w:type="dxa"/>
            <w:tcBorders>
              <w:top w:val="nil"/>
              <w:left w:val="single" w:sz="4" w:space="0" w:color="auto"/>
              <w:bottom w:val="single" w:sz="4" w:space="0" w:color="auto"/>
              <w:right w:val="nil"/>
            </w:tcBorders>
            <w:shd w:val="clear" w:color="auto" w:fill="auto"/>
            <w:noWrap/>
            <w:vAlign w:val="center"/>
            <w:hideMark/>
          </w:tcPr>
          <w:p w14:paraId="538E8C1A" w14:textId="77777777" w:rsidR="00A73928" w:rsidRPr="00B452A7" w:rsidRDefault="00A73928" w:rsidP="001924AD">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£2.8bn</w:t>
            </w:r>
          </w:p>
        </w:tc>
        <w:tc>
          <w:tcPr>
            <w:tcW w:w="2353" w:type="dxa"/>
            <w:gridSpan w:val="8"/>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EA1AD1F" w14:textId="77777777" w:rsidR="00A73928" w:rsidRPr="00B452A7" w:rsidRDefault="00A73928" w:rsidP="001924AD">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Construction phase (MoU)</w:t>
            </w:r>
          </w:p>
        </w:tc>
        <w:tc>
          <w:tcPr>
            <w:tcW w:w="1848" w:type="dxa"/>
            <w:gridSpan w:val="4"/>
            <w:tcBorders>
              <w:top w:val="nil"/>
              <w:left w:val="nil"/>
              <w:bottom w:val="single" w:sz="4" w:space="0" w:color="auto"/>
              <w:right w:val="single" w:sz="4" w:space="0" w:color="auto"/>
            </w:tcBorders>
            <w:shd w:val="clear" w:color="auto" w:fill="auto"/>
            <w:noWrap/>
            <w:vAlign w:val="center"/>
            <w:hideMark/>
          </w:tcPr>
          <w:p w14:paraId="0EFFA01A" w14:textId="25EE5A1B"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  </w:t>
            </w:r>
          </w:p>
        </w:tc>
      </w:tr>
      <w:tr w:rsidR="00A73928" w:rsidRPr="00DF49B4" w14:paraId="1CDAF327" w14:textId="77777777" w:rsidTr="00794383">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171F51"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Nuclear</w:t>
            </w:r>
          </w:p>
        </w:tc>
        <w:tc>
          <w:tcPr>
            <w:tcW w:w="2410" w:type="dxa"/>
            <w:tcBorders>
              <w:top w:val="nil"/>
              <w:left w:val="nil"/>
              <w:bottom w:val="single" w:sz="4" w:space="0" w:color="auto"/>
              <w:right w:val="single" w:sz="4" w:space="0" w:color="auto"/>
            </w:tcBorders>
            <w:shd w:val="clear" w:color="auto" w:fill="auto"/>
            <w:noWrap/>
            <w:vAlign w:val="bottom"/>
            <w:hideMark/>
          </w:tcPr>
          <w:p w14:paraId="74193446" w14:textId="11314032"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 xml:space="preserve">2 x </w:t>
            </w:r>
            <w:r w:rsidRPr="00B452A7">
              <w:rPr>
                <w:rFonts w:ascii="Calibri" w:eastAsia="Times New Roman" w:hAnsi="Calibri" w:cs="Calibri"/>
                <w:color w:val="000000"/>
                <w:kern w:val="0"/>
                <w:sz w:val="18"/>
                <w:szCs w:val="18"/>
                <w:lang w:eastAsia="en-GB"/>
                <w14:ligatures w14:val="none"/>
              </w:rPr>
              <w:t xml:space="preserve">SMR </w:t>
            </w:r>
            <w:r>
              <w:rPr>
                <w:rFonts w:ascii="Calibri" w:eastAsia="Times New Roman" w:hAnsi="Calibri" w:cs="Calibri"/>
                <w:color w:val="000000"/>
                <w:kern w:val="0"/>
                <w:sz w:val="18"/>
                <w:szCs w:val="18"/>
                <w:lang w:eastAsia="en-GB"/>
                <w14:ligatures w14:val="none"/>
              </w:rPr>
              <w:t>(</w:t>
            </w:r>
            <w:r w:rsidRPr="00B452A7">
              <w:rPr>
                <w:rFonts w:ascii="Calibri" w:eastAsia="Times New Roman" w:hAnsi="Calibri" w:cs="Calibri"/>
                <w:color w:val="000000"/>
                <w:kern w:val="0"/>
                <w:sz w:val="18"/>
                <w:szCs w:val="18"/>
                <w:lang w:eastAsia="en-GB"/>
                <w14:ligatures w14:val="none"/>
              </w:rPr>
              <w:t>Solway Community Power</w:t>
            </w:r>
            <w:r>
              <w:rPr>
                <w:rFonts w:ascii="Calibri" w:eastAsia="Times New Roman" w:hAnsi="Calibri" w:cs="Calibri"/>
                <w:color w:val="000000"/>
                <w:kern w:val="0"/>
                <w:sz w:val="18"/>
                <w:szCs w:val="18"/>
                <w:lang w:eastAsia="en-GB"/>
                <w14:ligatures w14:val="none"/>
              </w:rPr>
              <w:t xml:space="preserve"> and Rolls Royce) </w:t>
            </w:r>
          </w:p>
        </w:tc>
        <w:tc>
          <w:tcPr>
            <w:tcW w:w="992" w:type="dxa"/>
            <w:tcBorders>
              <w:top w:val="nil"/>
              <w:left w:val="nil"/>
              <w:bottom w:val="single" w:sz="4" w:space="0" w:color="auto"/>
              <w:right w:val="single" w:sz="4" w:space="0" w:color="auto"/>
            </w:tcBorders>
            <w:shd w:val="clear" w:color="auto" w:fill="auto"/>
            <w:noWrap/>
            <w:vAlign w:val="center"/>
            <w:hideMark/>
          </w:tcPr>
          <w:p w14:paraId="05F75712"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Amber</w:t>
            </w:r>
          </w:p>
        </w:tc>
        <w:tc>
          <w:tcPr>
            <w:tcW w:w="567" w:type="dxa"/>
            <w:tcBorders>
              <w:top w:val="nil"/>
              <w:left w:val="nil"/>
              <w:bottom w:val="single" w:sz="4" w:space="0" w:color="auto"/>
              <w:right w:val="single" w:sz="4" w:space="0" w:color="auto"/>
            </w:tcBorders>
            <w:shd w:val="clear" w:color="auto" w:fill="auto"/>
            <w:noWrap/>
            <w:vAlign w:val="center"/>
            <w:hideMark/>
          </w:tcPr>
          <w:p w14:paraId="7CD407E8" w14:textId="1DE174DC"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w:t>
            </w:r>
            <w:r>
              <w:rPr>
                <w:rFonts w:ascii="Calibri" w:eastAsia="Times New Roman" w:hAnsi="Calibri" w:cs="Calibri"/>
                <w:color w:val="000000"/>
                <w:kern w:val="0"/>
                <w:sz w:val="18"/>
                <w:szCs w:val="18"/>
                <w:lang w:eastAsia="en-GB"/>
                <w14:ligatures w14:val="none"/>
              </w:rPr>
              <w:t>6bn</w:t>
            </w:r>
          </w:p>
        </w:tc>
        <w:tc>
          <w:tcPr>
            <w:tcW w:w="1120" w:type="dxa"/>
            <w:gridSpan w:val="5"/>
            <w:tcBorders>
              <w:top w:val="single" w:sz="4" w:space="0" w:color="auto"/>
              <w:left w:val="nil"/>
              <w:bottom w:val="single" w:sz="4" w:space="0" w:color="auto"/>
              <w:right w:val="single" w:sz="4" w:space="0" w:color="000000"/>
            </w:tcBorders>
            <w:shd w:val="clear" w:color="auto" w:fill="FFFFFF" w:themeFill="background1"/>
            <w:noWrap/>
            <w:vAlign w:val="center"/>
          </w:tcPr>
          <w:p w14:paraId="302F7DA5"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p>
        </w:tc>
        <w:tc>
          <w:tcPr>
            <w:tcW w:w="2520" w:type="dxa"/>
            <w:gridSpan w:val="6"/>
            <w:tcBorders>
              <w:top w:val="single" w:sz="4" w:space="0" w:color="auto"/>
              <w:left w:val="nil"/>
              <w:bottom w:val="single" w:sz="4" w:space="0" w:color="auto"/>
              <w:right w:val="single" w:sz="4" w:space="0" w:color="000000"/>
            </w:tcBorders>
            <w:shd w:val="clear" w:color="000000" w:fill="F4B084"/>
            <w:vAlign w:val="center"/>
          </w:tcPr>
          <w:p w14:paraId="0A285719" w14:textId="15DE1638"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SMR construction</w:t>
            </w:r>
          </w:p>
        </w:tc>
        <w:tc>
          <w:tcPr>
            <w:tcW w:w="561" w:type="dxa"/>
            <w:tcBorders>
              <w:top w:val="single" w:sz="4" w:space="0" w:color="auto"/>
              <w:left w:val="nil"/>
              <w:bottom w:val="single" w:sz="4" w:space="0" w:color="auto"/>
              <w:right w:val="single" w:sz="4" w:space="0" w:color="000000"/>
            </w:tcBorders>
            <w:shd w:val="clear" w:color="auto" w:fill="C5E0B3" w:themeFill="accent6" w:themeFillTint="66"/>
            <w:vAlign w:val="center"/>
          </w:tcPr>
          <w:p w14:paraId="54535B1B" w14:textId="39C812F9"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SMR Ops</w:t>
            </w:r>
          </w:p>
        </w:tc>
      </w:tr>
      <w:tr w:rsidR="00A73928" w:rsidRPr="00DF49B4" w14:paraId="552BF68F" w14:textId="77777777" w:rsidTr="009A7A1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AED891"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Hydrogen</w:t>
            </w:r>
          </w:p>
        </w:tc>
        <w:tc>
          <w:tcPr>
            <w:tcW w:w="2410" w:type="dxa"/>
            <w:tcBorders>
              <w:top w:val="nil"/>
              <w:left w:val="nil"/>
              <w:bottom w:val="single" w:sz="4" w:space="0" w:color="auto"/>
              <w:right w:val="single" w:sz="4" w:space="0" w:color="auto"/>
            </w:tcBorders>
            <w:shd w:val="clear" w:color="auto" w:fill="auto"/>
            <w:noWrap/>
            <w:vAlign w:val="bottom"/>
            <w:hideMark/>
          </w:tcPr>
          <w:p w14:paraId="4CB6EB65"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Barrow Green Hydrogen Hub (Carlton Power)</w:t>
            </w:r>
          </w:p>
        </w:tc>
        <w:tc>
          <w:tcPr>
            <w:tcW w:w="992" w:type="dxa"/>
            <w:tcBorders>
              <w:top w:val="nil"/>
              <w:left w:val="nil"/>
              <w:bottom w:val="single" w:sz="4" w:space="0" w:color="auto"/>
              <w:right w:val="nil"/>
            </w:tcBorders>
            <w:shd w:val="clear" w:color="auto" w:fill="auto"/>
            <w:noWrap/>
            <w:vAlign w:val="center"/>
            <w:hideMark/>
          </w:tcPr>
          <w:p w14:paraId="20716ECA"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Green</w:t>
            </w:r>
          </w:p>
        </w:tc>
        <w:tc>
          <w:tcPr>
            <w:tcW w:w="567" w:type="dxa"/>
            <w:tcBorders>
              <w:top w:val="nil"/>
              <w:left w:val="single" w:sz="4" w:space="0" w:color="auto"/>
              <w:bottom w:val="single" w:sz="4" w:space="0" w:color="auto"/>
              <w:right w:val="nil"/>
            </w:tcBorders>
            <w:shd w:val="clear" w:color="auto" w:fill="auto"/>
            <w:noWrap/>
            <w:vAlign w:val="center"/>
            <w:hideMark/>
          </w:tcPr>
          <w:p w14:paraId="3AB400D8"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£120m</w:t>
            </w:r>
          </w:p>
        </w:tc>
        <w:tc>
          <w:tcPr>
            <w:tcW w:w="1033" w:type="dxa"/>
            <w:gridSpan w:val="4"/>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691208F"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Construction</w:t>
            </w:r>
          </w:p>
        </w:tc>
        <w:tc>
          <w:tcPr>
            <w:tcW w:w="3168" w:type="dxa"/>
            <w:gridSpan w:val="8"/>
            <w:tcBorders>
              <w:top w:val="single" w:sz="4" w:space="0" w:color="auto"/>
              <w:left w:val="nil"/>
              <w:bottom w:val="single" w:sz="4" w:space="0" w:color="auto"/>
              <w:right w:val="nil"/>
            </w:tcBorders>
            <w:shd w:val="clear" w:color="000000" w:fill="C6E0B4"/>
            <w:noWrap/>
            <w:vAlign w:val="center"/>
            <w:hideMark/>
          </w:tcPr>
          <w:p w14:paraId="289AC95E" w14:textId="355F3D52"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Operation</w:t>
            </w:r>
            <w:r>
              <w:rPr>
                <w:rFonts w:ascii="Calibri" w:eastAsia="Times New Roman" w:hAnsi="Calibri" w:cs="Calibri"/>
                <w:color w:val="000000"/>
                <w:kern w:val="0"/>
                <w:sz w:val="18"/>
                <w:szCs w:val="18"/>
                <w:lang w:eastAsia="en-GB"/>
                <w14:ligatures w14:val="none"/>
              </w:rPr>
              <w:t>s</w:t>
            </w:r>
          </w:p>
        </w:tc>
      </w:tr>
      <w:tr w:rsidR="00A73928" w:rsidRPr="00DF49B4" w14:paraId="581D8B13" w14:textId="77777777" w:rsidTr="00CB319F">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EC5DD9" w14:textId="6049BBA0"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CCUS</w:t>
            </w:r>
          </w:p>
        </w:tc>
        <w:tc>
          <w:tcPr>
            <w:tcW w:w="2410" w:type="dxa"/>
            <w:tcBorders>
              <w:top w:val="nil"/>
              <w:left w:val="nil"/>
              <w:bottom w:val="single" w:sz="4" w:space="0" w:color="auto"/>
              <w:right w:val="single" w:sz="4" w:space="0" w:color="auto"/>
            </w:tcBorders>
            <w:shd w:val="clear" w:color="auto" w:fill="auto"/>
            <w:noWrap/>
            <w:vAlign w:val="center"/>
          </w:tcPr>
          <w:p w14:paraId="4ED942F2" w14:textId="07AFCBA9"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Barrow (Spirit Energy)</w:t>
            </w:r>
          </w:p>
        </w:tc>
        <w:tc>
          <w:tcPr>
            <w:tcW w:w="992" w:type="dxa"/>
            <w:tcBorders>
              <w:top w:val="nil"/>
              <w:left w:val="nil"/>
              <w:bottom w:val="single" w:sz="4" w:space="0" w:color="auto"/>
              <w:right w:val="nil"/>
            </w:tcBorders>
            <w:shd w:val="clear" w:color="auto" w:fill="auto"/>
            <w:noWrap/>
            <w:vAlign w:val="center"/>
          </w:tcPr>
          <w:p w14:paraId="7FEA1414" w14:textId="7E24C066"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Amber</w:t>
            </w:r>
          </w:p>
        </w:tc>
        <w:tc>
          <w:tcPr>
            <w:tcW w:w="567" w:type="dxa"/>
            <w:tcBorders>
              <w:top w:val="nil"/>
              <w:left w:val="single" w:sz="4" w:space="0" w:color="auto"/>
              <w:bottom w:val="single" w:sz="4" w:space="0" w:color="auto"/>
              <w:right w:val="nil"/>
            </w:tcBorders>
            <w:shd w:val="clear" w:color="auto" w:fill="auto"/>
            <w:noWrap/>
            <w:vAlign w:val="center"/>
          </w:tcPr>
          <w:p w14:paraId="52113F1F" w14:textId="62F5F71F"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280"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2F99EED" w14:textId="531A5909"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p>
        </w:tc>
        <w:tc>
          <w:tcPr>
            <w:tcW w:w="1960" w:type="dxa"/>
            <w:gridSpan w:val="6"/>
            <w:tcBorders>
              <w:top w:val="single" w:sz="4" w:space="0" w:color="auto"/>
              <w:left w:val="single" w:sz="4" w:space="0" w:color="auto"/>
              <w:bottom w:val="single" w:sz="4" w:space="0" w:color="auto"/>
              <w:right w:val="single" w:sz="4" w:space="0" w:color="000000"/>
            </w:tcBorders>
            <w:shd w:val="clear" w:color="auto" w:fill="F4B083" w:themeFill="accent2" w:themeFillTint="99"/>
            <w:vAlign w:val="center"/>
          </w:tcPr>
          <w:p w14:paraId="7C3117EB" w14:textId="14B50966"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CCUS Construction</w:t>
            </w:r>
          </w:p>
        </w:tc>
        <w:tc>
          <w:tcPr>
            <w:tcW w:w="1961" w:type="dxa"/>
            <w:gridSpan w:val="5"/>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tcPr>
          <w:p w14:paraId="36C9004E" w14:textId="1F0C877A"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CCUS Operation</w:t>
            </w:r>
          </w:p>
        </w:tc>
      </w:tr>
      <w:tr w:rsidR="00A73928" w:rsidRPr="00DF49B4" w14:paraId="163AD8C0" w14:textId="77777777" w:rsidTr="009A7A1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9EBCDF"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Storage</w:t>
            </w:r>
          </w:p>
        </w:tc>
        <w:tc>
          <w:tcPr>
            <w:tcW w:w="2410" w:type="dxa"/>
            <w:tcBorders>
              <w:top w:val="nil"/>
              <w:left w:val="nil"/>
              <w:bottom w:val="single" w:sz="4" w:space="0" w:color="auto"/>
              <w:right w:val="single" w:sz="4" w:space="0" w:color="auto"/>
            </w:tcBorders>
            <w:shd w:val="clear" w:color="auto" w:fill="auto"/>
            <w:noWrap/>
            <w:vAlign w:val="bottom"/>
            <w:hideMark/>
          </w:tcPr>
          <w:p w14:paraId="6EC06038"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Harker battery nr Carlisle (50MW, EDF)</w:t>
            </w:r>
          </w:p>
        </w:tc>
        <w:tc>
          <w:tcPr>
            <w:tcW w:w="992" w:type="dxa"/>
            <w:tcBorders>
              <w:top w:val="nil"/>
              <w:left w:val="nil"/>
              <w:bottom w:val="single" w:sz="4" w:space="0" w:color="auto"/>
              <w:right w:val="nil"/>
            </w:tcBorders>
            <w:shd w:val="clear" w:color="auto" w:fill="auto"/>
            <w:noWrap/>
            <w:vAlign w:val="center"/>
            <w:hideMark/>
          </w:tcPr>
          <w:p w14:paraId="653840CC"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Green</w:t>
            </w:r>
          </w:p>
        </w:tc>
        <w:tc>
          <w:tcPr>
            <w:tcW w:w="567" w:type="dxa"/>
            <w:tcBorders>
              <w:top w:val="nil"/>
              <w:left w:val="single" w:sz="4" w:space="0" w:color="auto"/>
              <w:bottom w:val="single" w:sz="4" w:space="0" w:color="auto"/>
              <w:right w:val="nil"/>
            </w:tcBorders>
            <w:shd w:val="clear" w:color="auto" w:fill="auto"/>
            <w:noWrap/>
            <w:vAlign w:val="center"/>
            <w:hideMark/>
          </w:tcPr>
          <w:p w14:paraId="3A1AC713"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tbc</w:t>
            </w:r>
          </w:p>
        </w:tc>
        <w:tc>
          <w:tcPr>
            <w:tcW w:w="769"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053EC22"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Construction</w:t>
            </w:r>
          </w:p>
        </w:tc>
        <w:tc>
          <w:tcPr>
            <w:tcW w:w="3432" w:type="dxa"/>
            <w:gridSpan w:val="9"/>
            <w:tcBorders>
              <w:top w:val="single" w:sz="4" w:space="0" w:color="auto"/>
              <w:left w:val="nil"/>
              <w:bottom w:val="single" w:sz="4" w:space="0" w:color="auto"/>
              <w:right w:val="single" w:sz="4" w:space="0" w:color="000000"/>
            </w:tcBorders>
            <w:shd w:val="clear" w:color="000000" w:fill="C6E0B4"/>
            <w:noWrap/>
            <w:vAlign w:val="center"/>
            <w:hideMark/>
          </w:tcPr>
          <w:p w14:paraId="1E96B217" w14:textId="21C03C5F"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Operation</w:t>
            </w:r>
            <w:r>
              <w:rPr>
                <w:rFonts w:ascii="Calibri" w:eastAsia="Times New Roman" w:hAnsi="Calibri" w:cs="Calibri"/>
                <w:color w:val="000000"/>
                <w:kern w:val="0"/>
                <w:sz w:val="18"/>
                <w:szCs w:val="18"/>
                <w:lang w:eastAsia="en-GB"/>
                <w14:ligatures w14:val="none"/>
              </w:rPr>
              <w:t>s</w:t>
            </w:r>
          </w:p>
        </w:tc>
      </w:tr>
      <w:tr w:rsidR="00A73928" w:rsidRPr="00DF49B4" w14:paraId="3EAF56BA" w14:textId="77777777" w:rsidTr="009A7A1B">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9A00A9"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Solar PV</w:t>
            </w:r>
          </w:p>
        </w:tc>
        <w:tc>
          <w:tcPr>
            <w:tcW w:w="2410" w:type="dxa"/>
            <w:tcBorders>
              <w:top w:val="nil"/>
              <w:left w:val="nil"/>
              <w:bottom w:val="single" w:sz="4" w:space="0" w:color="auto"/>
              <w:right w:val="single" w:sz="4" w:space="0" w:color="auto"/>
            </w:tcBorders>
            <w:shd w:val="clear" w:color="auto" w:fill="auto"/>
            <w:noWrap/>
            <w:vAlign w:val="bottom"/>
            <w:hideMark/>
          </w:tcPr>
          <w:p w14:paraId="3118351A"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Higher Park Foot Farm nr Longtown (20MW, Elgin Energy)</w:t>
            </w:r>
          </w:p>
        </w:tc>
        <w:tc>
          <w:tcPr>
            <w:tcW w:w="992" w:type="dxa"/>
            <w:tcBorders>
              <w:top w:val="nil"/>
              <w:left w:val="nil"/>
              <w:bottom w:val="single" w:sz="4" w:space="0" w:color="auto"/>
              <w:right w:val="single" w:sz="4" w:space="0" w:color="auto"/>
            </w:tcBorders>
            <w:shd w:val="clear" w:color="auto" w:fill="auto"/>
            <w:noWrap/>
            <w:vAlign w:val="center"/>
            <w:hideMark/>
          </w:tcPr>
          <w:p w14:paraId="08B9FAE5"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Green</w:t>
            </w:r>
          </w:p>
        </w:tc>
        <w:tc>
          <w:tcPr>
            <w:tcW w:w="567" w:type="dxa"/>
            <w:tcBorders>
              <w:top w:val="nil"/>
              <w:left w:val="nil"/>
              <w:bottom w:val="single" w:sz="4" w:space="0" w:color="auto"/>
              <w:right w:val="single" w:sz="4" w:space="0" w:color="auto"/>
            </w:tcBorders>
            <w:shd w:val="clear" w:color="auto" w:fill="auto"/>
            <w:noWrap/>
            <w:vAlign w:val="center"/>
            <w:hideMark/>
          </w:tcPr>
          <w:p w14:paraId="61DACB80"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£16m</w:t>
            </w:r>
          </w:p>
        </w:tc>
        <w:tc>
          <w:tcPr>
            <w:tcW w:w="425" w:type="dxa"/>
            <w:gridSpan w:val="2"/>
            <w:tcBorders>
              <w:top w:val="nil"/>
              <w:left w:val="nil"/>
              <w:bottom w:val="single" w:sz="4" w:space="0" w:color="auto"/>
              <w:right w:val="single" w:sz="4" w:space="0" w:color="auto"/>
            </w:tcBorders>
            <w:shd w:val="clear" w:color="000000" w:fill="F4B084"/>
            <w:noWrap/>
            <w:vAlign w:val="center"/>
            <w:hideMark/>
          </w:tcPr>
          <w:p w14:paraId="21BDE311"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Cons</w:t>
            </w:r>
          </w:p>
        </w:tc>
        <w:tc>
          <w:tcPr>
            <w:tcW w:w="3776" w:type="dxa"/>
            <w:gridSpan w:val="10"/>
            <w:tcBorders>
              <w:top w:val="single" w:sz="4" w:space="0" w:color="auto"/>
              <w:left w:val="nil"/>
              <w:bottom w:val="single" w:sz="4" w:space="0" w:color="auto"/>
              <w:right w:val="single" w:sz="4" w:space="0" w:color="000000"/>
            </w:tcBorders>
            <w:shd w:val="clear" w:color="000000" w:fill="C6E0B4"/>
            <w:noWrap/>
            <w:vAlign w:val="center"/>
            <w:hideMark/>
          </w:tcPr>
          <w:p w14:paraId="0CBCB66E" w14:textId="66D8CA39"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Operation</w:t>
            </w:r>
            <w:r>
              <w:rPr>
                <w:rFonts w:ascii="Calibri" w:eastAsia="Times New Roman" w:hAnsi="Calibri" w:cs="Calibri"/>
                <w:color w:val="000000"/>
                <w:kern w:val="0"/>
                <w:sz w:val="18"/>
                <w:szCs w:val="18"/>
                <w:lang w:eastAsia="en-GB"/>
                <w14:ligatures w14:val="none"/>
              </w:rPr>
              <w:t>s</w:t>
            </w:r>
          </w:p>
        </w:tc>
      </w:tr>
      <w:tr w:rsidR="00A73928" w:rsidRPr="00DF49B4" w14:paraId="1C914FB9" w14:textId="77777777" w:rsidTr="00CC1B0E">
        <w:trPr>
          <w:trHeight w:val="29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F0352" w14:textId="7E7EB689"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Solar</w:t>
            </w:r>
            <w:r>
              <w:rPr>
                <w:rFonts w:ascii="Calibri" w:eastAsia="Times New Roman" w:hAnsi="Calibri" w:cs="Calibri"/>
                <w:color w:val="000000"/>
                <w:kern w:val="0"/>
                <w:sz w:val="18"/>
                <w:szCs w:val="18"/>
                <w:lang w:eastAsia="en-GB"/>
                <w14:ligatures w14:val="none"/>
              </w:rPr>
              <w:t>/ On-shore</w:t>
            </w:r>
            <w:r w:rsidRPr="00B452A7">
              <w:rPr>
                <w:rFonts w:ascii="Calibri" w:eastAsia="Times New Roman" w:hAnsi="Calibri" w:cs="Calibri"/>
                <w:color w:val="000000"/>
                <w:kern w:val="0"/>
                <w:sz w:val="18"/>
                <w:szCs w:val="18"/>
                <w:lang w:eastAsia="en-GB"/>
                <w14:ligatures w14:val="none"/>
              </w:rPr>
              <w:t xml:space="preserve"> </w:t>
            </w:r>
            <w:r>
              <w:rPr>
                <w:rFonts w:ascii="Calibri" w:eastAsia="Times New Roman" w:hAnsi="Calibri" w:cs="Calibri"/>
                <w:color w:val="000000"/>
                <w:kern w:val="0"/>
                <w:sz w:val="18"/>
                <w:szCs w:val="18"/>
                <w:lang w:eastAsia="en-GB"/>
                <w14:ligatures w14:val="none"/>
              </w:rPr>
              <w:t>W</w:t>
            </w:r>
          </w:p>
        </w:tc>
        <w:tc>
          <w:tcPr>
            <w:tcW w:w="2410" w:type="dxa"/>
            <w:tcBorders>
              <w:top w:val="nil"/>
              <w:left w:val="nil"/>
              <w:bottom w:val="single" w:sz="4" w:space="0" w:color="auto"/>
              <w:right w:val="single" w:sz="4" w:space="0" w:color="auto"/>
            </w:tcBorders>
            <w:shd w:val="clear" w:color="auto" w:fill="auto"/>
            <w:noWrap/>
            <w:vAlign w:val="bottom"/>
            <w:hideMark/>
          </w:tcPr>
          <w:p w14:paraId="5A4F5441" w14:textId="2F5C2224"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Great Oaks (Ridge Energy, 24MW Solar, 17MW wind)</w:t>
            </w:r>
          </w:p>
        </w:tc>
        <w:tc>
          <w:tcPr>
            <w:tcW w:w="992" w:type="dxa"/>
            <w:tcBorders>
              <w:top w:val="nil"/>
              <w:left w:val="nil"/>
              <w:bottom w:val="single" w:sz="4" w:space="0" w:color="auto"/>
              <w:right w:val="single" w:sz="4" w:space="0" w:color="auto"/>
            </w:tcBorders>
            <w:shd w:val="clear" w:color="auto" w:fill="auto"/>
            <w:noWrap/>
            <w:vAlign w:val="center"/>
            <w:hideMark/>
          </w:tcPr>
          <w:p w14:paraId="306017EF"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Amber</w:t>
            </w:r>
          </w:p>
        </w:tc>
        <w:tc>
          <w:tcPr>
            <w:tcW w:w="567" w:type="dxa"/>
            <w:tcBorders>
              <w:top w:val="nil"/>
              <w:left w:val="nil"/>
              <w:bottom w:val="single" w:sz="4" w:space="0" w:color="auto"/>
              <w:right w:val="single" w:sz="4" w:space="0" w:color="auto"/>
            </w:tcBorders>
            <w:shd w:val="clear" w:color="auto" w:fill="auto"/>
            <w:noWrap/>
            <w:vAlign w:val="center"/>
            <w:hideMark/>
          </w:tcPr>
          <w:p w14:paraId="7182E8E3"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tbc</w:t>
            </w:r>
          </w:p>
        </w:tc>
        <w:tc>
          <w:tcPr>
            <w:tcW w:w="769" w:type="dxa"/>
            <w:gridSpan w:val="3"/>
            <w:tcBorders>
              <w:top w:val="nil"/>
              <w:left w:val="nil"/>
              <w:bottom w:val="single" w:sz="4" w:space="0" w:color="auto"/>
              <w:right w:val="single" w:sz="4" w:space="0" w:color="auto"/>
            </w:tcBorders>
            <w:shd w:val="clear" w:color="auto" w:fill="auto"/>
            <w:noWrap/>
            <w:vAlign w:val="center"/>
            <w:hideMark/>
          </w:tcPr>
          <w:p w14:paraId="46DDB6CA"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 </w:t>
            </w:r>
          </w:p>
          <w:p w14:paraId="5319AB7C" w14:textId="7D2D1DD0"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 </w:t>
            </w:r>
          </w:p>
        </w:tc>
        <w:tc>
          <w:tcPr>
            <w:tcW w:w="264" w:type="dxa"/>
            <w:tcBorders>
              <w:top w:val="nil"/>
              <w:left w:val="nil"/>
              <w:bottom w:val="single" w:sz="4" w:space="0" w:color="auto"/>
              <w:right w:val="single" w:sz="4" w:space="0" w:color="auto"/>
            </w:tcBorders>
            <w:shd w:val="clear" w:color="000000" w:fill="F4B084"/>
            <w:noWrap/>
            <w:vAlign w:val="center"/>
            <w:hideMark/>
          </w:tcPr>
          <w:p w14:paraId="1AD499CD" w14:textId="77777777"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Cons</w:t>
            </w:r>
          </w:p>
        </w:tc>
        <w:tc>
          <w:tcPr>
            <w:tcW w:w="3168" w:type="dxa"/>
            <w:gridSpan w:val="8"/>
            <w:tcBorders>
              <w:top w:val="single" w:sz="4" w:space="0" w:color="auto"/>
              <w:left w:val="nil"/>
              <w:bottom w:val="single" w:sz="4" w:space="0" w:color="auto"/>
              <w:right w:val="single" w:sz="4" w:space="0" w:color="000000"/>
            </w:tcBorders>
            <w:shd w:val="clear" w:color="000000" w:fill="C6E0B4"/>
            <w:noWrap/>
            <w:vAlign w:val="center"/>
            <w:hideMark/>
          </w:tcPr>
          <w:p w14:paraId="691D1A92" w14:textId="25D2D203" w:rsidR="00A73928" w:rsidRPr="00B452A7" w:rsidRDefault="00A73928" w:rsidP="00A73928">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Operation</w:t>
            </w:r>
            <w:r>
              <w:rPr>
                <w:rFonts w:ascii="Calibri" w:eastAsia="Times New Roman" w:hAnsi="Calibri" w:cs="Calibri"/>
                <w:color w:val="000000"/>
                <w:kern w:val="0"/>
                <w:sz w:val="18"/>
                <w:szCs w:val="18"/>
                <w:lang w:eastAsia="en-GB"/>
                <w14:ligatures w14:val="none"/>
              </w:rPr>
              <w:t>s</w:t>
            </w:r>
          </w:p>
        </w:tc>
      </w:tr>
    </w:tbl>
    <w:p w14:paraId="6A839E06" w14:textId="77777777" w:rsidR="00A0341B" w:rsidRDefault="00A0341B" w:rsidP="00E832BC"/>
    <w:p w14:paraId="44210A4A" w14:textId="2CBE617A" w:rsidR="00050FBD" w:rsidRDefault="009244BF" w:rsidP="00E832BC">
      <w:r>
        <w:t xml:space="preserve">The above is based on projects that are highlighted within the ECITB project list and the renewable energy projects </w:t>
      </w:r>
      <w:r w:rsidR="00AE61B4">
        <w:t xml:space="preserve">in development. All </w:t>
      </w:r>
      <w:r w:rsidR="00A42B9A">
        <w:t>can be characterised as having a fair-to-high level of confidence that they will be implemented in Cumbria.</w:t>
      </w:r>
      <w:r w:rsidR="00050FBD">
        <w:t xml:space="preserve"> Key observations are as follows:</w:t>
      </w:r>
    </w:p>
    <w:p w14:paraId="48E211BC" w14:textId="75F407C1" w:rsidR="00050FBD" w:rsidRDefault="00A42B9A" w:rsidP="00D37CC5">
      <w:pPr>
        <w:pStyle w:val="ListParagraph"/>
        <w:numPr>
          <w:ilvl w:val="0"/>
          <w:numId w:val="20"/>
        </w:numPr>
      </w:pPr>
      <w:r>
        <w:t xml:space="preserve">The phasing of these projects suggests that </w:t>
      </w:r>
      <w:r w:rsidR="00A42F7B">
        <w:t xml:space="preserve">the bulk of activity </w:t>
      </w:r>
      <w:r w:rsidR="00AE422F">
        <w:t xml:space="preserve">during the lifespan of this LSIP will be via construction activity, with </w:t>
      </w:r>
      <w:r w:rsidR="00A42F7B">
        <w:t xml:space="preserve">operational requirements coming to the fore </w:t>
      </w:r>
      <w:r w:rsidR="00AE422F">
        <w:t>post-2026</w:t>
      </w:r>
    </w:p>
    <w:p w14:paraId="64BAF4AD" w14:textId="7A3137AA" w:rsidR="009D42FE" w:rsidRDefault="009D42FE" w:rsidP="00D37CC5">
      <w:pPr>
        <w:pStyle w:val="ListParagraph"/>
        <w:numPr>
          <w:ilvl w:val="0"/>
          <w:numId w:val="20"/>
        </w:numPr>
      </w:pPr>
      <w:r>
        <w:t xml:space="preserve">The first large-scale clean energy project appears to be plans for the capture and storage of CO2 led by Spirit Energy based at Barrow, utilising available spent gas fields in Morecambe Bay. </w:t>
      </w:r>
    </w:p>
    <w:p w14:paraId="7B61A0CF" w14:textId="78B0B0EC" w:rsidR="00A42F7B" w:rsidRDefault="00A42F7B" w:rsidP="00D37CC5">
      <w:pPr>
        <w:pStyle w:val="ListParagraph"/>
        <w:numPr>
          <w:ilvl w:val="0"/>
          <w:numId w:val="20"/>
        </w:numPr>
      </w:pPr>
      <w:r>
        <w:t xml:space="preserve">The only </w:t>
      </w:r>
      <w:r w:rsidR="00396824">
        <w:t xml:space="preserve">nuclear </w:t>
      </w:r>
      <w:r>
        <w:t xml:space="preserve">project </w:t>
      </w:r>
      <w:r w:rsidR="007D7643">
        <w:t xml:space="preserve">on the </w:t>
      </w:r>
      <w:r>
        <w:t xml:space="preserve">list that is likely to have substantial operational requirements is the Solway Community Power </w:t>
      </w:r>
      <w:r w:rsidR="00050FBD">
        <w:t>small modular reactor, which is being developed by Rolls Royce.</w:t>
      </w:r>
      <w:r w:rsidR="00396824">
        <w:t xml:space="preserve"> However </w:t>
      </w:r>
      <w:r w:rsidR="00E951BE">
        <w:t xml:space="preserve">feedback indicates that the project is several years </w:t>
      </w:r>
      <w:proofErr w:type="spellStart"/>
      <w:r w:rsidR="00E951BE">
        <w:t>off</w:t>
      </w:r>
      <w:proofErr w:type="spellEnd"/>
      <w:r w:rsidR="00E951BE">
        <w:t xml:space="preserve"> </w:t>
      </w:r>
      <w:r w:rsidR="00FC08F2">
        <w:t>securing a nuclear license for the land, and that construction could take as much as ten years from that point.</w:t>
      </w:r>
    </w:p>
    <w:p w14:paraId="5DFB021F" w14:textId="61C6C63C" w:rsidR="00050FBD" w:rsidRDefault="00CB0D4D" w:rsidP="00D37CC5">
      <w:pPr>
        <w:pStyle w:val="ListParagraph"/>
        <w:numPr>
          <w:ilvl w:val="0"/>
          <w:numId w:val="20"/>
        </w:numPr>
      </w:pPr>
      <w:r>
        <w:t>T</w:t>
      </w:r>
      <w:r w:rsidR="00F85F13">
        <w:t>he battery storage and solar PV/onshore wind plans listed above are li</w:t>
      </w:r>
      <w:r>
        <w:t xml:space="preserve">kely to generate very small numbers of sustained jobs during operational phase. </w:t>
      </w:r>
    </w:p>
    <w:p w14:paraId="7DC3C03A" w14:textId="77777777" w:rsidR="00520E4F" w:rsidRDefault="00520E4F">
      <w:pPr>
        <w:rPr>
          <w:b/>
          <w:bCs/>
          <w:sz w:val="20"/>
          <w:szCs w:val="20"/>
        </w:rPr>
      </w:pPr>
      <w:r>
        <w:rPr>
          <w:b/>
          <w:bCs/>
          <w:sz w:val="20"/>
          <w:szCs w:val="20"/>
        </w:rPr>
        <w:br w:type="page"/>
      </w:r>
    </w:p>
    <w:p w14:paraId="72D5A680" w14:textId="7264D5BD" w:rsidR="00CB0D4D" w:rsidRPr="00CB0D4D" w:rsidRDefault="00CB0D4D" w:rsidP="00CB0D4D">
      <w:pPr>
        <w:rPr>
          <w:b/>
          <w:bCs/>
          <w:sz w:val="20"/>
          <w:szCs w:val="20"/>
        </w:rPr>
      </w:pPr>
      <w:r w:rsidRPr="00CB0D4D">
        <w:rPr>
          <w:b/>
          <w:bCs/>
          <w:sz w:val="20"/>
          <w:szCs w:val="20"/>
        </w:rPr>
        <w:t xml:space="preserve">Figure </w:t>
      </w:r>
      <w:r w:rsidR="00F53486">
        <w:rPr>
          <w:b/>
          <w:bCs/>
          <w:sz w:val="20"/>
          <w:szCs w:val="20"/>
        </w:rPr>
        <w:t>10</w:t>
      </w:r>
      <w:r w:rsidRPr="00CB0D4D">
        <w:rPr>
          <w:b/>
          <w:bCs/>
          <w:sz w:val="20"/>
          <w:szCs w:val="20"/>
        </w:rPr>
        <w:t>: ‘High scenario’ growth of clean energy in Cumbria</w:t>
      </w:r>
    </w:p>
    <w:tbl>
      <w:tblPr>
        <w:tblW w:w="9024" w:type="dxa"/>
        <w:tblLayout w:type="fixed"/>
        <w:tblCellMar>
          <w:left w:w="57" w:type="dxa"/>
          <w:right w:w="57" w:type="dxa"/>
        </w:tblCellMar>
        <w:tblLook w:val="04A0" w:firstRow="1" w:lastRow="0" w:firstColumn="1" w:lastColumn="0" w:noHBand="0" w:noVBand="1"/>
      </w:tblPr>
      <w:tblGrid>
        <w:gridCol w:w="987"/>
        <w:gridCol w:w="2124"/>
        <w:gridCol w:w="992"/>
        <w:gridCol w:w="709"/>
        <w:gridCol w:w="283"/>
        <w:gridCol w:w="284"/>
        <w:gridCol w:w="284"/>
        <w:gridCol w:w="284"/>
        <w:gridCol w:w="568"/>
        <w:gridCol w:w="284"/>
        <w:gridCol w:w="284"/>
        <w:gridCol w:w="283"/>
        <w:gridCol w:w="851"/>
        <w:gridCol w:w="244"/>
        <w:gridCol w:w="270"/>
        <w:gridCol w:w="285"/>
        <w:gridCol w:w="8"/>
      </w:tblGrid>
      <w:tr w:rsidR="008372F6" w:rsidRPr="00525361" w14:paraId="71D79B5E" w14:textId="77777777" w:rsidTr="003B3E7B">
        <w:trPr>
          <w:trHeight w:val="290"/>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5F0B" w14:textId="77777777" w:rsidR="008372F6" w:rsidRPr="00525361" w:rsidRDefault="008372F6"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c>
          <w:tcPr>
            <w:tcW w:w="38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FA9862" w14:textId="461C07CC" w:rsidR="008372F6" w:rsidRPr="00525361" w:rsidRDefault="008372F6" w:rsidP="008372F6">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 xml:space="preserve">LSIP report </w:t>
            </w:r>
            <w:r w:rsidRPr="008372F6">
              <w:rPr>
                <w:rFonts w:ascii="Calibri" w:eastAsia="Times New Roman" w:hAnsi="Calibri" w:cs="Calibri"/>
                <w:b/>
                <w:bCs/>
                <w:color w:val="000000"/>
                <w:kern w:val="0"/>
                <w:sz w:val="18"/>
                <w:szCs w:val="18"/>
                <w:lang w:eastAsia="en-GB"/>
                <w14:ligatures w14:val="none"/>
              </w:rPr>
              <w:t>version</w:t>
            </w:r>
          </w:p>
        </w:tc>
        <w:tc>
          <w:tcPr>
            <w:tcW w:w="851"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2EB4B66D" w14:textId="77777777" w:rsidR="008372F6" w:rsidRPr="00525361" w:rsidRDefault="008372F6" w:rsidP="00525361">
            <w:pPr>
              <w:spacing w:after="0" w:line="240" w:lineRule="auto"/>
              <w:jc w:val="center"/>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Version 1</w:t>
            </w:r>
          </w:p>
        </w:tc>
        <w:tc>
          <w:tcPr>
            <w:tcW w:w="852"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65C750BB" w14:textId="77777777" w:rsidR="008372F6" w:rsidRPr="00525361" w:rsidRDefault="008372F6" w:rsidP="00525361">
            <w:pPr>
              <w:spacing w:after="0" w:line="240" w:lineRule="auto"/>
              <w:jc w:val="center"/>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Version 2</w:t>
            </w:r>
          </w:p>
        </w:tc>
        <w:tc>
          <w:tcPr>
            <w:tcW w:w="851" w:type="dxa"/>
            <w:gridSpan w:val="3"/>
            <w:tcBorders>
              <w:top w:val="single" w:sz="4" w:space="0" w:color="auto"/>
              <w:left w:val="nil"/>
              <w:bottom w:val="single" w:sz="4" w:space="0" w:color="auto"/>
              <w:right w:val="single" w:sz="4" w:space="0" w:color="auto"/>
            </w:tcBorders>
            <w:shd w:val="clear" w:color="000000" w:fill="FFFF00"/>
            <w:noWrap/>
            <w:vAlign w:val="bottom"/>
            <w:hideMark/>
          </w:tcPr>
          <w:p w14:paraId="2A710DAC" w14:textId="77777777" w:rsidR="008372F6" w:rsidRPr="00525361" w:rsidRDefault="008372F6" w:rsidP="00525361">
            <w:pPr>
              <w:spacing w:after="0" w:line="240" w:lineRule="auto"/>
              <w:jc w:val="center"/>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Version 3</w:t>
            </w:r>
          </w:p>
        </w:tc>
        <w:tc>
          <w:tcPr>
            <w:tcW w:w="851" w:type="dxa"/>
            <w:tcBorders>
              <w:top w:val="single" w:sz="4" w:space="0" w:color="auto"/>
              <w:left w:val="nil"/>
              <w:bottom w:val="single" w:sz="4" w:space="0" w:color="auto"/>
              <w:right w:val="single" w:sz="4" w:space="0" w:color="auto"/>
            </w:tcBorders>
            <w:shd w:val="clear" w:color="000000" w:fill="FFFF00"/>
            <w:noWrap/>
            <w:vAlign w:val="bottom"/>
            <w:hideMark/>
          </w:tcPr>
          <w:p w14:paraId="4E263D00" w14:textId="77777777" w:rsidR="008372F6" w:rsidRPr="00525361" w:rsidRDefault="008372F6" w:rsidP="00525361">
            <w:pPr>
              <w:spacing w:after="0" w:line="240" w:lineRule="auto"/>
              <w:jc w:val="center"/>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Version 4</w:t>
            </w:r>
          </w:p>
        </w:tc>
        <w:tc>
          <w:tcPr>
            <w:tcW w:w="807" w:type="dxa"/>
            <w:gridSpan w:val="4"/>
            <w:tcBorders>
              <w:top w:val="single" w:sz="4" w:space="0" w:color="auto"/>
              <w:left w:val="nil"/>
              <w:bottom w:val="single" w:sz="4" w:space="0" w:color="auto"/>
              <w:right w:val="single" w:sz="4" w:space="0" w:color="auto"/>
            </w:tcBorders>
            <w:shd w:val="clear" w:color="000000" w:fill="FFFF00"/>
            <w:noWrap/>
            <w:vAlign w:val="bottom"/>
            <w:hideMark/>
          </w:tcPr>
          <w:p w14:paraId="2BFF07B6" w14:textId="3010F322" w:rsidR="008372F6" w:rsidRPr="00525361" w:rsidRDefault="00F741D7" w:rsidP="00525361">
            <w:pPr>
              <w:spacing w:after="0" w:line="240" w:lineRule="auto"/>
              <w:jc w:val="center"/>
              <w:rPr>
                <w:rFonts w:ascii="Calibri" w:eastAsia="Times New Roman" w:hAnsi="Calibri" w:cs="Calibri"/>
                <w:color w:val="000000"/>
                <w:kern w:val="0"/>
                <w:sz w:val="18"/>
                <w:szCs w:val="18"/>
                <w:lang w:eastAsia="en-GB"/>
                <w14:ligatures w14:val="none"/>
              </w:rPr>
            </w:pPr>
            <w:proofErr w:type="spellStart"/>
            <w:r>
              <w:rPr>
                <w:rFonts w:ascii="Calibri" w:eastAsia="Times New Roman" w:hAnsi="Calibri" w:cs="Calibri"/>
                <w:color w:val="000000"/>
                <w:kern w:val="0"/>
                <w:sz w:val="18"/>
                <w:szCs w:val="18"/>
                <w:lang w:eastAsia="en-GB"/>
                <w14:ligatures w14:val="none"/>
              </w:rPr>
              <w:t>Vers</w:t>
            </w:r>
            <w:proofErr w:type="spellEnd"/>
            <w:r>
              <w:rPr>
                <w:rFonts w:ascii="Calibri" w:eastAsia="Times New Roman" w:hAnsi="Calibri" w:cs="Calibri"/>
                <w:color w:val="000000"/>
                <w:kern w:val="0"/>
                <w:sz w:val="18"/>
                <w:szCs w:val="18"/>
                <w:lang w:eastAsia="en-GB"/>
                <w14:ligatures w14:val="none"/>
              </w:rPr>
              <w:t>.</w:t>
            </w:r>
            <w:r w:rsidR="008372F6" w:rsidRPr="00525361">
              <w:rPr>
                <w:rFonts w:ascii="Calibri" w:eastAsia="Times New Roman" w:hAnsi="Calibri" w:cs="Calibri"/>
                <w:color w:val="000000"/>
                <w:kern w:val="0"/>
                <w:sz w:val="18"/>
                <w:szCs w:val="18"/>
                <w:lang w:eastAsia="en-GB"/>
                <w14:ligatures w14:val="none"/>
              </w:rPr>
              <w:t xml:space="preserve"> 5</w:t>
            </w:r>
          </w:p>
        </w:tc>
      </w:tr>
      <w:tr w:rsidR="00524B14" w:rsidRPr="00525361" w14:paraId="0BE81F92" w14:textId="77777777" w:rsidTr="003B3E7B">
        <w:trPr>
          <w:trHeight w:val="290"/>
        </w:trPr>
        <w:tc>
          <w:tcPr>
            <w:tcW w:w="987" w:type="dxa"/>
            <w:tcBorders>
              <w:top w:val="nil"/>
              <w:left w:val="single" w:sz="4" w:space="0" w:color="auto"/>
              <w:bottom w:val="single" w:sz="4" w:space="0" w:color="auto"/>
              <w:right w:val="single" w:sz="4" w:space="0" w:color="auto"/>
            </w:tcBorders>
            <w:shd w:val="clear" w:color="000000" w:fill="D9D9D9"/>
            <w:noWrap/>
            <w:vAlign w:val="center"/>
            <w:hideMark/>
          </w:tcPr>
          <w:p w14:paraId="77706593" w14:textId="768BFB68" w:rsidR="00525361" w:rsidRPr="00525361" w:rsidRDefault="00525361" w:rsidP="008372F6">
            <w:pPr>
              <w:spacing w:after="0" w:line="240" w:lineRule="auto"/>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Tech</w:t>
            </w:r>
          </w:p>
        </w:tc>
        <w:tc>
          <w:tcPr>
            <w:tcW w:w="2124" w:type="dxa"/>
            <w:tcBorders>
              <w:top w:val="nil"/>
              <w:left w:val="nil"/>
              <w:bottom w:val="single" w:sz="4" w:space="0" w:color="auto"/>
              <w:right w:val="single" w:sz="4" w:space="0" w:color="auto"/>
            </w:tcBorders>
            <w:shd w:val="clear" w:color="000000" w:fill="D9D9D9"/>
            <w:noWrap/>
            <w:vAlign w:val="center"/>
            <w:hideMark/>
          </w:tcPr>
          <w:p w14:paraId="2DF59F21" w14:textId="77777777" w:rsidR="00525361" w:rsidRPr="00525361" w:rsidRDefault="00525361" w:rsidP="008372F6">
            <w:pPr>
              <w:spacing w:after="0" w:line="240" w:lineRule="auto"/>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Project</w:t>
            </w:r>
          </w:p>
        </w:tc>
        <w:tc>
          <w:tcPr>
            <w:tcW w:w="992" w:type="dxa"/>
            <w:tcBorders>
              <w:top w:val="nil"/>
              <w:left w:val="nil"/>
              <w:bottom w:val="single" w:sz="4" w:space="0" w:color="auto"/>
              <w:right w:val="single" w:sz="4" w:space="0" w:color="auto"/>
            </w:tcBorders>
            <w:shd w:val="clear" w:color="000000" w:fill="D9D9D9"/>
            <w:noWrap/>
            <w:vAlign w:val="center"/>
            <w:hideMark/>
          </w:tcPr>
          <w:p w14:paraId="42E69007" w14:textId="77777777" w:rsidR="00525361" w:rsidRPr="00525361" w:rsidRDefault="00525361" w:rsidP="008372F6">
            <w:pPr>
              <w:spacing w:after="0" w:line="240" w:lineRule="auto"/>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Confidence (RAG)</w:t>
            </w:r>
          </w:p>
        </w:tc>
        <w:tc>
          <w:tcPr>
            <w:tcW w:w="709" w:type="dxa"/>
            <w:tcBorders>
              <w:top w:val="nil"/>
              <w:left w:val="nil"/>
              <w:bottom w:val="single" w:sz="4" w:space="0" w:color="auto"/>
              <w:right w:val="single" w:sz="4" w:space="0" w:color="auto"/>
            </w:tcBorders>
            <w:shd w:val="clear" w:color="000000" w:fill="D9D9D9"/>
            <w:noWrap/>
            <w:vAlign w:val="center"/>
            <w:hideMark/>
          </w:tcPr>
          <w:p w14:paraId="22302A9F" w14:textId="77777777" w:rsidR="00525361" w:rsidRPr="00525361" w:rsidRDefault="00525361" w:rsidP="008372F6">
            <w:pPr>
              <w:spacing w:after="0" w:line="240" w:lineRule="auto"/>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Value</w:t>
            </w:r>
          </w:p>
        </w:tc>
        <w:tc>
          <w:tcPr>
            <w:tcW w:w="851"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CDFD394" w14:textId="77777777" w:rsidR="00525361" w:rsidRPr="00525361" w:rsidRDefault="00525361" w:rsidP="00525361">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2023-25</w:t>
            </w:r>
          </w:p>
        </w:tc>
        <w:tc>
          <w:tcPr>
            <w:tcW w:w="852"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21C4A8FD" w14:textId="77777777" w:rsidR="00525361" w:rsidRPr="00525361" w:rsidRDefault="00525361" w:rsidP="00525361">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2026-28</w:t>
            </w:r>
          </w:p>
        </w:tc>
        <w:tc>
          <w:tcPr>
            <w:tcW w:w="851"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1093ABAF" w14:textId="77777777" w:rsidR="00525361" w:rsidRPr="00525361" w:rsidRDefault="00525361" w:rsidP="00525361">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2029-31</w:t>
            </w:r>
          </w:p>
        </w:tc>
        <w:tc>
          <w:tcPr>
            <w:tcW w:w="851" w:type="dxa"/>
            <w:tcBorders>
              <w:top w:val="single" w:sz="4" w:space="0" w:color="auto"/>
              <w:left w:val="nil"/>
              <w:bottom w:val="single" w:sz="4" w:space="0" w:color="auto"/>
              <w:right w:val="single" w:sz="4" w:space="0" w:color="000000"/>
            </w:tcBorders>
            <w:shd w:val="clear" w:color="000000" w:fill="D9D9D9"/>
            <w:noWrap/>
            <w:vAlign w:val="bottom"/>
            <w:hideMark/>
          </w:tcPr>
          <w:p w14:paraId="0C2E0DC7" w14:textId="77777777" w:rsidR="00525361" w:rsidRPr="00525361" w:rsidRDefault="00525361" w:rsidP="00525361">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2032-34</w:t>
            </w:r>
          </w:p>
        </w:tc>
        <w:tc>
          <w:tcPr>
            <w:tcW w:w="807" w:type="dxa"/>
            <w:gridSpan w:val="4"/>
            <w:tcBorders>
              <w:top w:val="single" w:sz="4" w:space="0" w:color="auto"/>
              <w:left w:val="nil"/>
              <w:bottom w:val="single" w:sz="4" w:space="0" w:color="auto"/>
              <w:right w:val="single" w:sz="4" w:space="0" w:color="000000"/>
            </w:tcBorders>
            <w:shd w:val="clear" w:color="000000" w:fill="D9D9D9"/>
            <w:noWrap/>
            <w:vAlign w:val="bottom"/>
            <w:hideMark/>
          </w:tcPr>
          <w:p w14:paraId="5DD33D6B" w14:textId="62B076FC" w:rsidR="00525361" w:rsidRPr="00525361" w:rsidRDefault="00525361" w:rsidP="00525361">
            <w:pPr>
              <w:spacing w:after="0" w:line="240" w:lineRule="auto"/>
              <w:jc w:val="center"/>
              <w:rPr>
                <w:rFonts w:ascii="Calibri" w:eastAsia="Times New Roman" w:hAnsi="Calibri" w:cs="Calibri"/>
                <w:b/>
                <w:bCs/>
                <w:color w:val="000000"/>
                <w:kern w:val="0"/>
                <w:sz w:val="18"/>
                <w:szCs w:val="18"/>
                <w:lang w:eastAsia="en-GB"/>
                <w14:ligatures w14:val="none"/>
              </w:rPr>
            </w:pPr>
            <w:r w:rsidRPr="00525361">
              <w:rPr>
                <w:rFonts w:ascii="Calibri" w:eastAsia="Times New Roman" w:hAnsi="Calibri" w:cs="Calibri"/>
                <w:b/>
                <w:bCs/>
                <w:color w:val="000000"/>
                <w:kern w:val="0"/>
                <w:sz w:val="18"/>
                <w:szCs w:val="18"/>
                <w:lang w:eastAsia="en-GB"/>
                <w14:ligatures w14:val="none"/>
              </w:rPr>
              <w:t>2035-</w:t>
            </w:r>
            <w:r w:rsidR="00D53360">
              <w:rPr>
                <w:rFonts w:ascii="Calibri" w:eastAsia="Times New Roman" w:hAnsi="Calibri" w:cs="Calibri"/>
                <w:b/>
                <w:bCs/>
                <w:color w:val="000000"/>
                <w:kern w:val="0"/>
                <w:sz w:val="18"/>
                <w:szCs w:val="18"/>
                <w:lang w:eastAsia="en-GB"/>
                <w14:ligatures w14:val="none"/>
              </w:rPr>
              <w:t>3</w:t>
            </w:r>
            <w:r w:rsidRPr="00525361">
              <w:rPr>
                <w:rFonts w:ascii="Calibri" w:eastAsia="Times New Roman" w:hAnsi="Calibri" w:cs="Calibri"/>
                <w:b/>
                <w:bCs/>
                <w:color w:val="000000"/>
                <w:kern w:val="0"/>
                <w:sz w:val="18"/>
                <w:szCs w:val="18"/>
                <w:lang w:eastAsia="en-GB"/>
                <w14:ligatures w14:val="none"/>
              </w:rPr>
              <w:t>7</w:t>
            </w:r>
          </w:p>
        </w:tc>
      </w:tr>
      <w:tr w:rsidR="00EC775E" w:rsidRPr="00525361" w14:paraId="4FAF31CB" w14:textId="77777777" w:rsidTr="00FB29B9">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30FD484" w14:textId="77777777"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Nuclear</w:t>
            </w:r>
          </w:p>
        </w:tc>
        <w:tc>
          <w:tcPr>
            <w:tcW w:w="2124" w:type="dxa"/>
            <w:tcBorders>
              <w:top w:val="nil"/>
              <w:left w:val="nil"/>
              <w:bottom w:val="single" w:sz="4" w:space="0" w:color="auto"/>
              <w:right w:val="single" w:sz="4" w:space="0" w:color="auto"/>
            </w:tcBorders>
            <w:shd w:val="clear" w:color="auto" w:fill="auto"/>
            <w:noWrap/>
            <w:vAlign w:val="center"/>
            <w:hideMark/>
          </w:tcPr>
          <w:p w14:paraId="7158B9CC" w14:textId="77777777"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Sizewell C</w:t>
            </w:r>
          </w:p>
        </w:tc>
        <w:tc>
          <w:tcPr>
            <w:tcW w:w="992" w:type="dxa"/>
            <w:tcBorders>
              <w:top w:val="nil"/>
              <w:left w:val="nil"/>
              <w:bottom w:val="single" w:sz="4" w:space="0" w:color="auto"/>
              <w:right w:val="nil"/>
            </w:tcBorders>
            <w:shd w:val="clear" w:color="auto" w:fill="auto"/>
            <w:noWrap/>
            <w:vAlign w:val="center"/>
            <w:hideMark/>
          </w:tcPr>
          <w:p w14:paraId="73DCABE3" w14:textId="77777777"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Amber</w:t>
            </w:r>
          </w:p>
        </w:tc>
        <w:tc>
          <w:tcPr>
            <w:tcW w:w="709" w:type="dxa"/>
            <w:tcBorders>
              <w:top w:val="nil"/>
              <w:left w:val="single" w:sz="4" w:space="0" w:color="auto"/>
              <w:bottom w:val="single" w:sz="4" w:space="0" w:color="auto"/>
              <w:right w:val="nil"/>
            </w:tcBorders>
            <w:shd w:val="clear" w:color="auto" w:fill="auto"/>
            <w:noWrap/>
            <w:vAlign w:val="center"/>
            <w:hideMark/>
          </w:tcPr>
          <w:p w14:paraId="73BB0924" w14:textId="77777777"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£2.8bn</w:t>
            </w:r>
          </w:p>
        </w:tc>
        <w:tc>
          <w:tcPr>
            <w:tcW w:w="2554" w:type="dxa"/>
            <w:gridSpan w:val="8"/>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95A96A6" w14:textId="77777777"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Construction phase (MoU)</w:t>
            </w:r>
          </w:p>
        </w:tc>
        <w:tc>
          <w:tcPr>
            <w:tcW w:w="1658" w:type="dxa"/>
            <w:gridSpan w:val="5"/>
            <w:tcBorders>
              <w:top w:val="nil"/>
              <w:left w:val="nil"/>
              <w:bottom w:val="single" w:sz="4" w:space="0" w:color="auto"/>
              <w:right w:val="single" w:sz="4" w:space="0" w:color="auto"/>
            </w:tcBorders>
            <w:shd w:val="clear" w:color="auto" w:fill="auto"/>
            <w:noWrap/>
            <w:vAlign w:val="center"/>
            <w:hideMark/>
          </w:tcPr>
          <w:p w14:paraId="4899CF36" w14:textId="3A3A1AD6" w:rsidR="00EC775E" w:rsidRPr="00525361" w:rsidRDefault="00EC775E" w:rsidP="008372F6">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r>
      <w:tr w:rsidR="003B3E7B" w:rsidRPr="00525361" w14:paraId="4C780664" w14:textId="77777777" w:rsidTr="001601DC">
        <w:trPr>
          <w:gridAfter w:val="1"/>
          <w:wAfter w:w="8" w:type="dxa"/>
          <w:trHeight w:val="290"/>
        </w:trPr>
        <w:tc>
          <w:tcPr>
            <w:tcW w:w="987" w:type="dxa"/>
            <w:tcBorders>
              <w:top w:val="nil"/>
              <w:left w:val="single" w:sz="4" w:space="0" w:color="auto"/>
              <w:bottom w:val="single" w:sz="4" w:space="0" w:color="auto"/>
              <w:right w:val="single" w:sz="4" w:space="0" w:color="auto"/>
            </w:tcBorders>
            <w:shd w:val="clear" w:color="auto" w:fill="auto"/>
            <w:noWrap/>
            <w:vAlign w:val="bottom"/>
          </w:tcPr>
          <w:p w14:paraId="4CD7EC6C" w14:textId="7354BA81" w:rsidR="003B3E7B" w:rsidRPr="00525361" w:rsidRDefault="003B3E7B" w:rsidP="00FB2BF9">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Nuclear</w:t>
            </w:r>
          </w:p>
        </w:tc>
        <w:tc>
          <w:tcPr>
            <w:tcW w:w="2124" w:type="dxa"/>
            <w:tcBorders>
              <w:top w:val="nil"/>
              <w:left w:val="nil"/>
              <w:bottom w:val="single" w:sz="4" w:space="0" w:color="auto"/>
              <w:right w:val="single" w:sz="4" w:space="0" w:color="auto"/>
            </w:tcBorders>
            <w:shd w:val="clear" w:color="auto" w:fill="auto"/>
            <w:noWrap/>
            <w:vAlign w:val="center"/>
          </w:tcPr>
          <w:p w14:paraId="1295CC7F" w14:textId="5EB84AEB"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 xml:space="preserve">2 x </w:t>
            </w:r>
            <w:r w:rsidRPr="00B452A7">
              <w:rPr>
                <w:rFonts w:ascii="Calibri" w:eastAsia="Times New Roman" w:hAnsi="Calibri" w:cs="Calibri"/>
                <w:color w:val="000000"/>
                <w:kern w:val="0"/>
                <w:sz w:val="18"/>
                <w:szCs w:val="18"/>
                <w:lang w:eastAsia="en-GB"/>
                <w14:ligatures w14:val="none"/>
              </w:rPr>
              <w:t xml:space="preserve">SMR </w:t>
            </w:r>
            <w:r>
              <w:rPr>
                <w:rFonts w:ascii="Calibri" w:eastAsia="Times New Roman" w:hAnsi="Calibri" w:cs="Calibri"/>
                <w:color w:val="000000"/>
                <w:kern w:val="0"/>
                <w:sz w:val="18"/>
                <w:szCs w:val="18"/>
                <w:lang w:eastAsia="en-GB"/>
                <w14:ligatures w14:val="none"/>
              </w:rPr>
              <w:t>(</w:t>
            </w:r>
            <w:r w:rsidRPr="00B452A7">
              <w:rPr>
                <w:rFonts w:ascii="Calibri" w:eastAsia="Times New Roman" w:hAnsi="Calibri" w:cs="Calibri"/>
                <w:color w:val="000000"/>
                <w:kern w:val="0"/>
                <w:sz w:val="18"/>
                <w:szCs w:val="18"/>
                <w:lang w:eastAsia="en-GB"/>
                <w14:ligatures w14:val="none"/>
              </w:rPr>
              <w:t xml:space="preserve">Solway </w:t>
            </w:r>
            <w:r w:rsidR="001601DC">
              <w:rPr>
                <w:rFonts w:ascii="Calibri" w:eastAsia="Times New Roman" w:hAnsi="Calibri" w:cs="Calibri"/>
                <w:color w:val="000000"/>
                <w:kern w:val="0"/>
                <w:sz w:val="18"/>
                <w:szCs w:val="18"/>
                <w:lang w:eastAsia="en-GB"/>
                <w14:ligatures w14:val="none"/>
              </w:rPr>
              <w:t>Comm</w:t>
            </w:r>
            <w:r w:rsidRPr="00B452A7">
              <w:rPr>
                <w:rFonts w:ascii="Calibri" w:eastAsia="Times New Roman" w:hAnsi="Calibri" w:cs="Calibri"/>
                <w:color w:val="000000"/>
                <w:kern w:val="0"/>
                <w:sz w:val="18"/>
                <w:szCs w:val="18"/>
                <w:lang w:eastAsia="en-GB"/>
                <w14:ligatures w14:val="none"/>
              </w:rPr>
              <w:t xml:space="preserve"> Power</w:t>
            </w:r>
            <w:r>
              <w:rPr>
                <w:rFonts w:ascii="Calibri" w:eastAsia="Times New Roman" w:hAnsi="Calibri" w:cs="Calibri"/>
                <w:color w:val="000000"/>
                <w:kern w:val="0"/>
                <w:sz w:val="18"/>
                <w:szCs w:val="18"/>
                <w:lang w:eastAsia="en-GB"/>
                <w14:ligatures w14:val="none"/>
              </w:rPr>
              <w:t xml:space="preserve"> </w:t>
            </w:r>
            <w:r w:rsidR="001601DC">
              <w:rPr>
                <w:rFonts w:ascii="Calibri" w:eastAsia="Times New Roman" w:hAnsi="Calibri" w:cs="Calibri"/>
                <w:color w:val="000000"/>
                <w:kern w:val="0"/>
                <w:sz w:val="18"/>
                <w:szCs w:val="18"/>
                <w:lang w:eastAsia="en-GB"/>
                <w14:ligatures w14:val="none"/>
              </w:rPr>
              <w:t>&amp;</w:t>
            </w:r>
            <w:r>
              <w:rPr>
                <w:rFonts w:ascii="Calibri" w:eastAsia="Times New Roman" w:hAnsi="Calibri" w:cs="Calibri"/>
                <w:color w:val="000000"/>
                <w:kern w:val="0"/>
                <w:sz w:val="18"/>
                <w:szCs w:val="18"/>
                <w:lang w:eastAsia="en-GB"/>
                <w14:ligatures w14:val="none"/>
              </w:rPr>
              <w:t xml:space="preserve"> Rolls Royce) </w:t>
            </w:r>
          </w:p>
        </w:tc>
        <w:tc>
          <w:tcPr>
            <w:tcW w:w="992" w:type="dxa"/>
            <w:tcBorders>
              <w:top w:val="nil"/>
              <w:left w:val="nil"/>
              <w:bottom w:val="single" w:sz="4" w:space="0" w:color="auto"/>
              <w:right w:val="single" w:sz="4" w:space="0" w:color="auto"/>
            </w:tcBorders>
            <w:shd w:val="clear" w:color="auto" w:fill="auto"/>
            <w:noWrap/>
            <w:vAlign w:val="center"/>
          </w:tcPr>
          <w:p w14:paraId="17D2CEC6" w14:textId="211981F6"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Amber</w:t>
            </w:r>
          </w:p>
        </w:tc>
        <w:tc>
          <w:tcPr>
            <w:tcW w:w="709" w:type="dxa"/>
            <w:tcBorders>
              <w:top w:val="nil"/>
              <w:left w:val="nil"/>
              <w:bottom w:val="single" w:sz="4" w:space="0" w:color="auto"/>
              <w:right w:val="single" w:sz="4" w:space="0" w:color="auto"/>
            </w:tcBorders>
            <w:shd w:val="clear" w:color="auto" w:fill="auto"/>
            <w:noWrap/>
            <w:vAlign w:val="center"/>
          </w:tcPr>
          <w:p w14:paraId="0D5342F9" w14:textId="6A9B7110"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r w:rsidRPr="00B452A7">
              <w:rPr>
                <w:rFonts w:ascii="Calibri" w:eastAsia="Times New Roman" w:hAnsi="Calibri" w:cs="Calibri"/>
                <w:color w:val="000000"/>
                <w:kern w:val="0"/>
                <w:sz w:val="18"/>
                <w:szCs w:val="18"/>
                <w:lang w:eastAsia="en-GB"/>
                <w14:ligatures w14:val="none"/>
              </w:rPr>
              <w:t>£</w:t>
            </w:r>
            <w:r>
              <w:rPr>
                <w:rFonts w:ascii="Calibri" w:eastAsia="Times New Roman" w:hAnsi="Calibri" w:cs="Calibri"/>
                <w:color w:val="000000"/>
                <w:kern w:val="0"/>
                <w:sz w:val="18"/>
                <w:szCs w:val="18"/>
                <w:lang w:eastAsia="en-GB"/>
                <w14:ligatures w14:val="none"/>
              </w:rPr>
              <w:t>6bn</w:t>
            </w:r>
          </w:p>
        </w:tc>
        <w:tc>
          <w:tcPr>
            <w:tcW w:w="1135" w:type="dxa"/>
            <w:gridSpan w:val="4"/>
            <w:tcBorders>
              <w:top w:val="nil"/>
              <w:left w:val="nil"/>
              <w:bottom w:val="single" w:sz="4" w:space="0" w:color="auto"/>
              <w:right w:val="single" w:sz="4" w:space="0" w:color="auto"/>
            </w:tcBorders>
            <w:shd w:val="clear" w:color="000000" w:fill="FFFFFF"/>
            <w:noWrap/>
            <w:vAlign w:val="center"/>
          </w:tcPr>
          <w:p w14:paraId="57A718C3" w14:textId="317A7C3A"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p>
        </w:tc>
        <w:tc>
          <w:tcPr>
            <w:tcW w:w="2514" w:type="dxa"/>
            <w:gridSpan w:val="6"/>
            <w:tcBorders>
              <w:top w:val="single" w:sz="4" w:space="0" w:color="auto"/>
              <w:left w:val="nil"/>
              <w:bottom w:val="single" w:sz="4" w:space="0" w:color="auto"/>
              <w:right w:val="single" w:sz="4" w:space="0" w:color="auto"/>
            </w:tcBorders>
            <w:shd w:val="clear" w:color="000000" w:fill="F4B084"/>
            <w:vAlign w:val="center"/>
          </w:tcPr>
          <w:p w14:paraId="667DA437" w14:textId="2C512985"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SMR construction</w:t>
            </w:r>
          </w:p>
        </w:tc>
        <w:tc>
          <w:tcPr>
            <w:tcW w:w="555" w:type="dxa"/>
            <w:gridSpan w:val="2"/>
            <w:tcBorders>
              <w:top w:val="single" w:sz="4" w:space="0" w:color="auto"/>
              <w:left w:val="nil"/>
              <w:bottom w:val="single" w:sz="4" w:space="0" w:color="auto"/>
              <w:right w:val="nil"/>
            </w:tcBorders>
            <w:shd w:val="clear" w:color="000000" w:fill="C6E0B4"/>
            <w:vAlign w:val="center"/>
          </w:tcPr>
          <w:p w14:paraId="54333B55" w14:textId="0AF0BD54" w:rsidR="003B3E7B" w:rsidRPr="00525361" w:rsidRDefault="003B3E7B" w:rsidP="001601DC">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SMR ops</w:t>
            </w:r>
          </w:p>
        </w:tc>
      </w:tr>
      <w:tr w:rsidR="00EC775E" w:rsidRPr="00525361" w14:paraId="3E0167E0" w14:textId="77777777" w:rsidTr="00304809">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A5042F1"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Nuclear</w:t>
            </w:r>
          </w:p>
        </w:tc>
        <w:tc>
          <w:tcPr>
            <w:tcW w:w="2124" w:type="dxa"/>
            <w:tcBorders>
              <w:top w:val="nil"/>
              <w:left w:val="nil"/>
              <w:bottom w:val="single" w:sz="4" w:space="0" w:color="auto"/>
              <w:right w:val="single" w:sz="4" w:space="0" w:color="auto"/>
            </w:tcBorders>
            <w:shd w:val="clear" w:color="auto" w:fill="auto"/>
            <w:noWrap/>
            <w:vAlign w:val="center"/>
            <w:hideMark/>
          </w:tcPr>
          <w:p w14:paraId="542505FF" w14:textId="6AE340F9"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EPR large new build</w:t>
            </w:r>
          </w:p>
        </w:tc>
        <w:tc>
          <w:tcPr>
            <w:tcW w:w="992" w:type="dxa"/>
            <w:tcBorders>
              <w:top w:val="nil"/>
              <w:left w:val="nil"/>
              <w:bottom w:val="single" w:sz="4" w:space="0" w:color="auto"/>
              <w:right w:val="single" w:sz="4" w:space="0" w:color="auto"/>
            </w:tcBorders>
            <w:shd w:val="clear" w:color="auto" w:fill="auto"/>
            <w:noWrap/>
            <w:vAlign w:val="center"/>
            <w:hideMark/>
          </w:tcPr>
          <w:p w14:paraId="2B63D770"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Red</w:t>
            </w:r>
          </w:p>
        </w:tc>
        <w:tc>
          <w:tcPr>
            <w:tcW w:w="709" w:type="dxa"/>
            <w:tcBorders>
              <w:top w:val="nil"/>
              <w:left w:val="nil"/>
              <w:bottom w:val="single" w:sz="4" w:space="0" w:color="auto"/>
              <w:right w:val="single" w:sz="4" w:space="0" w:color="auto"/>
            </w:tcBorders>
            <w:shd w:val="clear" w:color="auto" w:fill="auto"/>
            <w:noWrap/>
            <w:vAlign w:val="center"/>
            <w:hideMark/>
          </w:tcPr>
          <w:p w14:paraId="304CA853"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£11bn</w:t>
            </w:r>
          </w:p>
        </w:tc>
        <w:tc>
          <w:tcPr>
            <w:tcW w:w="2271" w:type="dxa"/>
            <w:gridSpan w:val="7"/>
            <w:tcBorders>
              <w:top w:val="nil"/>
              <w:left w:val="nil"/>
              <w:bottom w:val="single" w:sz="4" w:space="0" w:color="auto"/>
              <w:right w:val="single" w:sz="4" w:space="0" w:color="auto"/>
            </w:tcBorders>
            <w:shd w:val="clear" w:color="000000" w:fill="FFFFFF"/>
            <w:noWrap/>
            <w:vAlign w:val="center"/>
            <w:hideMark/>
          </w:tcPr>
          <w:p w14:paraId="5C7A9548" w14:textId="6CE10E5E"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c>
          <w:tcPr>
            <w:tcW w:w="1941" w:type="dxa"/>
            <w:gridSpan w:val="6"/>
            <w:tcBorders>
              <w:top w:val="single" w:sz="4" w:space="0" w:color="auto"/>
              <w:left w:val="nil"/>
              <w:bottom w:val="single" w:sz="4" w:space="0" w:color="auto"/>
              <w:right w:val="single" w:sz="4" w:space="0" w:color="000000"/>
            </w:tcBorders>
            <w:shd w:val="clear" w:color="000000" w:fill="F4B084"/>
            <w:noWrap/>
            <w:vAlign w:val="center"/>
            <w:hideMark/>
          </w:tcPr>
          <w:p w14:paraId="65BDD0D5"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Moorside construction</w:t>
            </w:r>
          </w:p>
        </w:tc>
      </w:tr>
      <w:tr w:rsidR="00EC775E" w:rsidRPr="00525361" w14:paraId="3404F24C" w14:textId="77777777" w:rsidTr="00EC775E">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6FAD6D0"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Nuclear</w:t>
            </w:r>
          </w:p>
        </w:tc>
        <w:tc>
          <w:tcPr>
            <w:tcW w:w="2124" w:type="dxa"/>
            <w:tcBorders>
              <w:top w:val="nil"/>
              <w:left w:val="nil"/>
              <w:bottom w:val="single" w:sz="4" w:space="0" w:color="auto"/>
              <w:right w:val="single" w:sz="4" w:space="0" w:color="auto"/>
            </w:tcBorders>
            <w:shd w:val="clear" w:color="auto" w:fill="auto"/>
            <w:noWrap/>
            <w:vAlign w:val="center"/>
            <w:hideMark/>
          </w:tcPr>
          <w:p w14:paraId="700FCC9D"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AMR and Hydrogen Generation</w:t>
            </w:r>
          </w:p>
        </w:tc>
        <w:tc>
          <w:tcPr>
            <w:tcW w:w="992" w:type="dxa"/>
            <w:tcBorders>
              <w:top w:val="nil"/>
              <w:left w:val="nil"/>
              <w:bottom w:val="single" w:sz="4" w:space="0" w:color="auto"/>
              <w:right w:val="single" w:sz="4" w:space="0" w:color="auto"/>
            </w:tcBorders>
            <w:shd w:val="clear" w:color="auto" w:fill="auto"/>
            <w:noWrap/>
            <w:vAlign w:val="center"/>
            <w:hideMark/>
          </w:tcPr>
          <w:p w14:paraId="2929A82F"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Red</w:t>
            </w:r>
          </w:p>
        </w:tc>
        <w:tc>
          <w:tcPr>
            <w:tcW w:w="709" w:type="dxa"/>
            <w:tcBorders>
              <w:top w:val="nil"/>
              <w:left w:val="nil"/>
              <w:bottom w:val="single" w:sz="4" w:space="0" w:color="auto"/>
              <w:right w:val="single" w:sz="4" w:space="0" w:color="auto"/>
            </w:tcBorders>
            <w:shd w:val="clear" w:color="auto" w:fill="auto"/>
            <w:noWrap/>
            <w:vAlign w:val="center"/>
            <w:hideMark/>
          </w:tcPr>
          <w:p w14:paraId="3E25E45F"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4212" w:type="dxa"/>
            <w:gridSpan w:val="13"/>
            <w:tcBorders>
              <w:top w:val="nil"/>
              <w:left w:val="nil"/>
              <w:bottom w:val="single" w:sz="4" w:space="0" w:color="auto"/>
              <w:right w:val="single" w:sz="4" w:space="0" w:color="auto"/>
            </w:tcBorders>
            <w:shd w:val="clear" w:color="000000" w:fill="FFFFFF"/>
            <w:noWrap/>
            <w:vAlign w:val="center"/>
          </w:tcPr>
          <w:p w14:paraId="386C7658" w14:textId="7D32B186"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p>
        </w:tc>
      </w:tr>
      <w:tr w:rsidR="00EC775E" w:rsidRPr="00525361" w14:paraId="0CCAAE3A" w14:textId="77777777" w:rsidTr="00414E07">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3CD02FC4"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Grid</w:t>
            </w:r>
          </w:p>
        </w:tc>
        <w:tc>
          <w:tcPr>
            <w:tcW w:w="2124" w:type="dxa"/>
            <w:tcBorders>
              <w:top w:val="nil"/>
              <w:left w:val="nil"/>
              <w:bottom w:val="single" w:sz="4" w:space="0" w:color="auto"/>
              <w:right w:val="single" w:sz="4" w:space="0" w:color="auto"/>
            </w:tcBorders>
            <w:shd w:val="clear" w:color="auto" w:fill="auto"/>
            <w:noWrap/>
            <w:vAlign w:val="center"/>
            <w:hideMark/>
          </w:tcPr>
          <w:p w14:paraId="19C54A19"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Electricity grid upgrade</w:t>
            </w:r>
          </w:p>
        </w:tc>
        <w:tc>
          <w:tcPr>
            <w:tcW w:w="992" w:type="dxa"/>
            <w:tcBorders>
              <w:top w:val="nil"/>
              <w:left w:val="nil"/>
              <w:bottom w:val="single" w:sz="4" w:space="0" w:color="auto"/>
              <w:right w:val="single" w:sz="4" w:space="0" w:color="auto"/>
            </w:tcBorders>
            <w:shd w:val="clear" w:color="auto" w:fill="auto"/>
            <w:noWrap/>
            <w:vAlign w:val="center"/>
            <w:hideMark/>
          </w:tcPr>
          <w:p w14:paraId="40B85708"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Red</w:t>
            </w:r>
          </w:p>
        </w:tc>
        <w:tc>
          <w:tcPr>
            <w:tcW w:w="709" w:type="dxa"/>
            <w:tcBorders>
              <w:top w:val="nil"/>
              <w:left w:val="nil"/>
              <w:bottom w:val="single" w:sz="4" w:space="0" w:color="auto"/>
              <w:right w:val="single" w:sz="4" w:space="0" w:color="auto"/>
            </w:tcBorders>
            <w:shd w:val="clear" w:color="auto" w:fill="auto"/>
            <w:noWrap/>
            <w:vAlign w:val="center"/>
            <w:hideMark/>
          </w:tcPr>
          <w:p w14:paraId="7AEF9F5A"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£4bn+</w:t>
            </w:r>
          </w:p>
        </w:tc>
        <w:tc>
          <w:tcPr>
            <w:tcW w:w="1987" w:type="dxa"/>
            <w:gridSpan w:val="6"/>
            <w:tcBorders>
              <w:top w:val="nil"/>
              <w:left w:val="nil"/>
              <w:bottom w:val="single" w:sz="4" w:space="0" w:color="auto"/>
              <w:right w:val="single" w:sz="4" w:space="0" w:color="auto"/>
            </w:tcBorders>
            <w:shd w:val="clear" w:color="000000" w:fill="FFFFFF"/>
            <w:noWrap/>
            <w:vAlign w:val="center"/>
            <w:hideMark/>
          </w:tcPr>
          <w:p w14:paraId="1B665FE8" w14:textId="43816956"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c>
          <w:tcPr>
            <w:tcW w:w="1932" w:type="dxa"/>
            <w:gridSpan w:val="5"/>
            <w:tcBorders>
              <w:top w:val="nil"/>
              <w:left w:val="nil"/>
              <w:bottom w:val="single" w:sz="4" w:space="0" w:color="auto"/>
              <w:right w:val="single" w:sz="4" w:space="0" w:color="auto"/>
            </w:tcBorders>
            <w:shd w:val="clear" w:color="auto" w:fill="F4B083" w:themeFill="accent2" w:themeFillTint="99"/>
            <w:noWrap/>
            <w:vAlign w:val="center"/>
            <w:hideMark/>
          </w:tcPr>
          <w:p w14:paraId="02F40F5B" w14:textId="372A63B5"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Grid construction</w:t>
            </w:r>
          </w:p>
        </w:tc>
        <w:tc>
          <w:tcPr>
            <w:tcW w:w="293"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FDC064"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r>
      <w:tr w:rsidR="00FB2BF9" w:rsidRPr="00525361" w14:paraId="1BF007AC" w14:textId="77777777" w:rsidTr="003B3E7B">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568A8EC8"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Hydrogen</w:t>
            </w:r>
          </w:p>
        </w:tc>
        <w:tc>
          <w:tcPr>
            <w:tcW w:w="2124" w:type="dxa"/>
            <w:tcBorders>
              <w:top w:val="nil"/>
              <w:left w:val="nil"/>
              <w:bottom w:val="single" w:sz="4" w:space="0" w:color="auto"/>
              <w:right w:val="single" w:sz="4" w:space="0" w:color="auto"/>
            </w:tcBorders>
            <w:shd w:val="clear" w:color="auto" w:fill="auto"/>
            <w:noWrap/>
            <w:vAlign w:val="center"/>
            <w:hideMark/>
          </w:tcPr>
          <w:p w14:paraId="1C9472D6"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Barrow Green Hydrogen Hub (Carlton Power)</w:t>
            </w:r>
          </w:p>
        </w:tc>
        <w:tc>
          <w:tcPr>
            <w:tcW w:w="992" w:type="dxa"/>
            <w:tcBorders>
              <w:top w:val="nil"/>
              <w:left w:val="nil"/>
              <w:bottom w:val="single" w:sz="4" w:space="0" w:color="auto"/>
              <w:right w:val="nil"/>
            </w:tcBorders>
            <w:shd w:val="clear" w:color="auto" w:fill="auto"/>
            <w:noWrap/>
            <w:vAlign w:val="center"/>
            <w:hideMark/>
          </w:tcPr>
          <w:p w14:paraId="06064FF7"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Green</w:t>
            </w:r>
          </w:p>
        </w:tc>
        <w:tc>
          <w:tcPr>
            <w:tcW w:w="709" w:type="dxa"/>
            <w:tcBorders>
              <w:top w:val="nil"/>
              <w:left w:val="single" w:sz="4" w:space="0" w:color="auto"/>
              <w:bottom w:val="single" w:sz="4" w:space="0" w:color="auto"/>
              <w:right w:val="nil"/>
            </w:tcBorders>
            <w:shd w:val="clear" w:color="auto" w:fill="auto"/>
            <w:noWrap/>
            <w:vAlign w:val="center"/>
            <w:hideMark/>
          </w:tcPr>
          <w:p w14:paraId="3B367080"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£120m?</w:t>
            </w:r>
          </w:p>
        </w:tc>
        <w:tc>
          <w:tcPr>
            <w:tcW w:w="851"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286BA10"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Construction</w:t>
            </w:r>
          </w:p>
        </w:tc>
        <w:tc>
          <w:tcPr>
            <w:tcW w:w="3361" w:type="dxa"/>
            <w:gridSpan w:val="10"/>
            <w:tcBorders>
              <w:top w:val="single" w:sz="4" w:space="0" w:color="auto"/>
              <w:left w:val="nil"/>
              <w:bottom w:val="single" w:sz="4" w:space="0" w:color="auto"/>
              <w:right w:val="nil"/>
            </w:tcBorders>
            <w:shd w:val="clear" w:color="000000" w:fill="C6E0B4"/>
            <w:noWrap/>
            <w:vAlign w:val="center"/>
            <w:hideMark/>
          </w:tcPr>
          <w:p w14:paraId="759CD04D"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Green Hydrogen Hub Operation</w:t>
            </w:r>
          </w:p>
        </w:tc>
      </w:tr>
      <w:tr w:rsidR="00EC775E" w:rsidRPr="00525361" w14:paraId="6E419C3A" w14:textId="77777777" w:rsidTr="00EC775E">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26301F6"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Hydrogen</w:t>
            </w:r>
          </w:p>
        </w:tc>
        <w:tc>
          <w:tcPr>
            <w:tcW w:w="2124" w:type="dxa"/>
            <w:tcBorders>
              <w:top w:val="nil"/>
              <w:left w:val="nil"/>
              <w:bottom w:val="single" w:sz="4" w:space="0" w:color="auto"/>
              <w:right w:val="single" w:sz="4" w:space="0" w:color="auto"/>
            </w:tcBorders>
            <w:shd w:val="clear" w:color="auto" w:fill="auto"/>
            <w:noWrap/>
            <w:vAlign w:val="center"/>
            <w:hideMark/>
          </w:tcPr>
          <w:p w14:paraId="0B4F2837"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Pipe network South Cumbria</w:t>
            </w:r>
          </w:p>
        </w:tc>
        <w:tc>
          <w:tcPr>
            <w:tcW w:w="992" w:type="dxa"/>
            <w:tcBorders>
              <w:top w:val="nil"/>
              <w:left w:val="nil"/>
              <w:bottom w:val="single" w:sz="4" w:space="0" w:color="auto"/>
              <w:right w:val="nil"/>
            </w:tcBorders>
            <w:shd w:val="clear" w:color="auto" w:fill="auto"/>
            <w:noWrap/>
            <w:vAlign w:val="center"/>
            <w:hideMark/>
          </w:tcPr>
          <w:p w14:paraId="76C68465"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Red/Amber</w:t>
            </w:r>
          </w:p>
        </w:tc>
        <w:tc>
          <w:tcPr>
            <w:tcW w:w="709" w:type="dxa"/>
            <w:tcBorders>
              <w:top w:val="nil"/>
              <w:left w:val="single" w:sz="4" w:space="0" w:color="auto"/>
              <w:bottom w:val="single" w:sz="4" w:space="0" w:color="auto"/>
              <w:right w:val="nil"/>
            </w:tcBorders>
            <w:shd w:val="clear" w:color="auto" w:fill="auto"/>
            <w:noWrap/>
            <w:vAlign w:val="center"/>
            <w:hideMark/>
          </w:tcPr>
          <w:p w14:paraId="38D1FC4C"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1135" w:type="dxa"/>
            <w:gridSpan w:val="4"/>
            <w:tcBorders>
              <w:top w:val="nil"/>
              <w:left w:val="single" w:sz="4" w:space="0" w:color="auto"/>
              <w:bottom w:val="single" w:sz="4" w:space="0" w:color="auto"/>
              <w:right w:val="single" w:sz="4" w:space="0" w:color="auto"/>
            </w:tcBorders>
            <w:shd w:val="clear" w:color="000000" w:fill="FFFFFF"/>
            <w:noWrap/>
            <w:vAlign w:val="center"/>
          </w:tcPr>
          <w:p w14:paraId="212A3A68" w14:textId="3249F416"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p>
        </w:tc>
        <w:tc>
          <w:tcPr>
            <w:tcW w:w="852" w:type="dxa"/>
            <w:gridSpan w:val="2"/>
            <w:tcBorders>
              <w:top w:val="single" w:sz="4" w:space="0" w:color="auto"/>
              <w:left w:val="nil"/>
              <w:bottom w:val="single" w:sz="4" w:space="0" w:color="auto"/>
              <w:right w:val="single" w:sz="4" w:space="0" w:color="000000"/>
            </w:tcBorders>
            <w:shd w:val="clear" w:color="000000" w:fill="F4B084"/>
            <w:noWrap/>
            <w:vAlign w:val="center"/>
            <w:hideMark/>
          </w:tcPr>
          <w:p w14:paraId="6C0F5F00" w14:textId="1DF11D65"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xml:space="preserve">Construction </w:t>
            </w:r>
          </w:p>
        </w:tc>
        <w:tc>
          <w:tcPr>
            <w:tcW w:w="2225" w:type="dxa"/>
            <w:gridSpan w:val="7"/>
            <w:tcBorders>
              <w:top w:val="single" w:sz="4" w:space="0" w:color="auto"/>
              <w:left w:val="nil"/>
              <w:bottom w:val="single" w:sz="4" w:space="0" w:color="auto"/>
              <w:right w:val="nil"/>
            </w:tcBorders>
            <w:shd w:val="clear" w:color="000000" w:fill="C6E0B4"/>
            <w:noWrap/>
            <w:vAlign w:val="center"/>
            <w:hideMark/>
          </w:tcPr>
          <w:p w14:paraId="24BC7E2F"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Operation - Hydrogen pipes</w:t>
            </w:r>
          </w:p>
        </w:tc>
      </w:tr>
      <w:tr w:rsidR="00FB2BF9" w:rsidRPr="00525361" w14:paraId="3DF04186" w14:textId="77777777" w:rsidTr="003B3E7B">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6133E07"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CCUS</w:t>
            </w:r>
          </w:p>
        </w:tc>
        <w:tc>
          <w:tcPr>
            <w:tcW w:w="2124" w:type="dxa"/>
            <w:tcBorders>
              <w:top w:val="nil"/>
              <w:left w:val="nil"/>
              <w:bottom w:val="single" w:sz="4" w:space="0" w:color="auto"/>
              <w:right w:val="single" w:sz="4" w:space="0" w:color="auto"/>
            </w:tcBorders>
            <w:shd w:val="clear" w:color="auto" w:fill="auto"/>
            <w:noWrap/>
            <w:vAlign w:val="center"/>
            <w:hideMark/>
          </w:tcPr>
          <w:p w14:paraId="0B3F6E2F"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Barrow (Spirit Energy)</w:t>
            </w:r>
          </w:p>
        </w:tc>
        <w:tc>
          <w:tcPr>
            <w:tcW w:w="992" w:type="dxa"/>
            <w:tcBorders>
              <w:top w:val="nil"/>
              <w:left w:val="nil"/>
              <w:bottom w:val="single" w:sz="4" w:space="0" w:color="auto"/>
              <w:right w:val="single" w:sz="4" w:space="0" w:color="auto"/>
            </w:tcBorders>
            <w:shd w:val="clear" w:color="auto" w:fill="auto"/>
            <w:noWrap/>
            <w:vAlign w:val="center"/>
            <w:hideMark/>
          </w:tcPr>
          <w:p w14:paraId="1B72BA2C"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Amber</w:t>
            </w:r>
          </w:p>
        </w:tc>
        <w:tc>
          <w:tcPr>
            <w:tcW w:w="709" w:type="dxa"/>
            <w:tcBorders>
              <w:top w:val="nil"/>
              <w:left w:val="nil"/>
              <w:bottom w:val="single" w:sz="4" w:space="0" w:color="auto"/>
              <w:right w:val="single" w:sz="4" w:space="0" w:color="auto"/>
            </w:tcBorders>
            <w:shd w:val="clear" w:color="auto" w:fill="auto"/>
            <w:noWrap/>
            <w:vAlign w:val="center"/>
            <w:hideMark/>
          </w:tcPr>
          <w:p w14:paraId="1B5CED33"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283" w:type="dxa"/>
            <w:tcBorders>
              <w:top w:val="nil"/>
              <w:left w:val="nil"/>
              <w:bottom w:val="single" w:sz="4" w:space="0" w:color="auto"/>
              <w:right w:val="single" w:sz="4" w:space="0" w:color="auto"/>
            </w:tcBorders>
            <w:shd w:val="clear" w:color="auto" w:fill="auto"/>
            <w:noWrap/>
            <w:vAlign w:val="center"/>
            <w:hideMark/>
          </w:tcPr>
          <w:p w14:paraId="57046E61"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c>
          <w:tcPr>
            <w:tcW w:w="1704" w:type="dxa"/>
            <w:gridSpan w:val="5"/>
            <w:tcBorders>
              <w:top w:val="single" w:sz="4" w:space="0" w:color="auto"/>
              <w:left w:val="nil"/>
              <w:bottom w:val="single" w:sz="4" w:space="0" w:color="auto"/>
              <w:right w:val="single" w:sz="4" w:space="0" w:color="000000"/>
            </w:tcBorders>
            <w:shd w:val="clear" w:color="000000" w:fill="F4B084"/>
            <w:noWrap/>
            <w:vAlign w:val="center"/>
            <w:hideMark/>
          </w:tcPr>
          <w:p w14:paraId="600B698F"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CCUS Construction</w:t>
            </w:r>
          </w:p>
        </w:tc>
        <w:tc>
          <w:tcPr>
            <w:tcW w:w="2225" w:type="dxa"/>
            <w:gridSpan w:val="7"/>
            <w:tcBorders>
              <w:top w:val="single" w:sz="4" w:space="0" w:color="auto"/>
              <w:left w:val="nil"/>
              <w:bottom w:val="single" w:sz="4" w:space="0" w:color="auto"/>
              <w:right w:val="nil"/>
            </w:tcBorders>
            <w:shd w:val="clear" w:color="000000" w:fill="C6E0B4"/>
            <w:noWrap/>
            <w:vAlign w:val="center"/>
            <w:hideMark/>
          </w:tcPr>
          <w:p w14:paraId="30DD897D"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CCUS Operation</w:t>
            </w:r>
          </w:p>
        </w:tc>
      </w:tr>
      <w:tr w:rsidR="00FB2BF9" w:rsidRPr="00525361" w14:paraId="2692D5ED" w14:textId="77777777" w:rsidTr="003B3E7B">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450E8599"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Storage</w:t>
            </w:r>
          </w:p>
        </w:tc>
        <w:tc>
          <w:tcPr>
            <w:tcW w:w="2124" w:type="dxa"/>
            <w:tcBorders>
              <w:top w:val="nil"/>
              <w:left w:val="nil"/>
              <w:bottom w:val="single" w:sz="4" w:space="0" w:color="auto"/>
              <w:right w:val="single" w:sz="4" w:space="0" w:color="auto"/>
            </w:tcBorders>
            <w:shd w:val="clear" w:color="auto" w:fill="auto"/>
            <w:noWrap/>
            <w:vAlign w:val="center"/>
            <w:hideMark/>
          </w:tcPr>
          <w:p w14:paraId="59282934"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Harker battery nr Carlisle (50MW, EDF)</w:t>
            </w:r>
          </w:p>
        </w:tc>
        <w:tc>
          <w:tcPr>
            <w:tcW w:w="992" w:type="dxa"/>
            <w:tcBorders>
              <w:top w:val="nil"/>
              <w:left w:val="nil"/>
              <w:bottom w:val="single" w:sz="4" w:space="0" w:color="auto"/>
              <w:right w:val="nil"/>
            </w:tcBorders>
            <w:shd w:val="clear" w:color="auto" w:fill="auto"/>
            <w:noWrap/>
            <w:vAlign w:val="center"/>
            <w:hideMark/>
          </w:tcPr>
          <w:p w14:paraId="74C19BEF"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Green</w:t>
            </w:r>
          </w:p>
        </w:tc>
        <w:tc>
          <w:tcPr>
            <w:tcW w:w="709" w:type="dxa"/>
            <w:tcBorders>
              <w:top w:val="nil"/>
              <w:left w:val="single" w:sz="4" w:space="0" w:color="auto"/>
              <w:bottom w:val="single" w:sz="4" w:space="0" w:color="auto"/>
              <w:right w:val="nil"/>
            </w:tcBorders>
            <w:shd w:val="clear" w:color="auto" w:fill="auto"/>
            <w:noWrap/>
            <w:vAlign w:val="center"/>
            <w:hideMark/>
          </w:tcPr>
          <w:p w14:paraId="42881D2E"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567" w:type="dxa"/>
            <w:gridSpan w:val="2"/>
            <w:tcBorders>
              <w:top w:val="single" w:sz="4" w:space="0" w:color="auto"/>
              <w:left w:val="single" w:sz="4" w:space="0" w:color="auto"/>
              <w:bottom w:val="single" w:sz="4" w:space="0" w:color="auto"/>
              <w:right w:val="single" w:sz="4" w:space="0" w:color="000000"/>
            </w:tcBorders>
            <w:shd w:val="clear" w:color="000000" w:fill="F4B084"/>
            <w:noWrap/>
            <w:vAlign w:val="center"/>
          </w:tcPr>
          <w:p w14:paraId="7AD44333" w14:textId="08251C54"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Cons</w:t>
            </w:r>
          </w:p>
        </w:tc>
        <w:tc>
          <w:tcPr>
            <w:tcW w:w="3645" w:type="dxa"/>
            <w:gridSpan w:val="11"/>
            <w:tcBorders>
              <w:top w:val="single" w:sz="4" w:space="0" w:color="auto"/>
              <w:left w:val="nil"/>
              <w:bottom w:val="single" w:sz="4" w:space="0" w:color="auto"/>
              <w:right w:val="single" w:sz="4" w:space="0" w:color="000000"/>
            </w:tcBorders>
            <w:shd w:val="clear" w:color="000000" w:fill="C6E0B4"/>
            <w:noWrap/>
            <w:vAlign w:val="center"/>
            <w:hideMark/>
          </w:tcPr>
          <w:p w14:paraId="3C230565"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Operation</w:t>
            </w:r>
          </w:p>
        </w:tc>
      </w:tr>
      <w:tr w:rsidR="00FB2BF9" w:rsidRPr="00525361" w14:paraId="364ED16A" w14:textId="77777777" w:rsidTr="003B3E7B">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A259D97"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Solar PV</w:t>
            </w:r>
          </w:p>
        </w:tc>
        <w:tc>
          <w:tcPr>
            <w:tcW w:w="2124" w:type="dxa"/>
            <w:tcBorders>
              <w:top w:val="nil"/>
              <w:left w:val="nil"/>
              <w:bottom w:val="single" w:sz="4" w:space="0" w:color="auto"/>
              <w:right w:val="single" w:sz="4" w:space="0" w:color="auto"/>
            </w:tcBorders>
            <w:shd w:val="clear" w:color="auto" w:fill="auto"/>
            <w:noWrap/>
            <w:vAlign w:val="center"/>
            <w:hideMark/>
          </w:tcPr>
          <w:p w14:paraId="401BA869" w14:textId="66446149"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xml:space="preserve">Higher Park Foot </w:t>
            </w:r>
            <w:r>
              <w:rPr>
                <w:rFonts w:ascii="Calibri" w:eastAsia="Times New Roman" w:hAnsi="Calibri" w:cs="Calibri"/>
                <w:color w:val="000000"/>
                <w:kern w:val="0"/>
                <w:sz w:val="18"/>
                <w:szCs w:val="18"/>
                <w:lang w:eastAsia="en-GB"/>
                <w14:ligatures w14:val="none"/>
              </w:rPr>
              <w:t>Fm</w:t>
            </w:r>
            <w:r w:rsidRPr="00525361">
              <w:rPr>
                <w:rFonts w:ascii="Calibri" w:eastAsia="Times New Roman" w:hAnsi="Calibri" w:cs="Calibri"/>
                <w:color w:val="000000"/>
                <w:kern w:val="0"/>
                <w:sz w:val="18"/>
                <w:szCs w:val="18"/>
                <w:lang w:eastAsia="en-GB"/>
                <w14:ligatures w14:val="none"/>
              </w:rPr>
              <w:t xml:space="preserve"> nr Longtown (20MW, Elgin Energy)</w:t>
            </w:r>
          </w:p>
        </w:tc>
        <w:tc>
          <w:tcPr>
            <w:tcW w:w="992" w:type="dxa"/>
            <w:tcBorders>
              <w:top w:val="nil"/>
              <w:left w:val="nil"/>
              <w:bottom w:val="single" w:sz="4" w:space="0" w:color="auto"/>
              <w:right w:val="single" w:sz="4" w:space="0" w:color="auto"/>
            </w:tcBorders>
            <w:shd w:val="clear" w:color="auto" w:fill="auto"/>
            <w:noWrap/>
            <w:vAlign w:val="center"/>
            <w:hideMark/>
          </w:tcPr>
          <w:p w14:paraId="001895F8"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Green</w:t>
            </w:r>
          </w:p>
        </w:tc>
        <w:tc>
          <w:tcPr>
            <w:tcW w:w="709" w:type="dxa"/>
            <w:tcBorders>
              <w:top w:val="nil"/>
              <w:left w:val="nil"/>
              <w:bottom w:val="single" w:sz="4" w:space="0" w:color="auto"/>
              <w:right w:val="single" w:sz="4" w:space="0" w:color="auto"/>
            </w:tcBorders>
            <w:shd w:val="clear" w:color="auto" w:fill="auto"/>
            <w:noWrap/>
            <w:vAlign w:val="center"/>
            <w:hideMark/>
          </w:tcPr>
          <w:p w14:paraId="4A3E0C0E"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£16m</w:t>
            </w:r>
          </w:p>
        </w:tc>
        <w:tc>
          <w:tcPr>
            <w:tcW w:w="283" w:type="dxa"/>
            <w:tcBorders>
              <w:top w:val="nil"/>
              <w:left w:val="nil"/>
              <w:bottom w:val="single" w:sz="4" w:space="0" w:color="auto"/>
              <w:right w:val="single" w:sz="4" w:space="0" w:color="auto"/>
            </w:tcBorders>
            <w:shd w:val="clear" w:color="000000" w:fill="F4B084"/>
            <w:noWrap/>
            <w:vAlign w:val="center"/>
            <w:hideMark/>
          </w:tcPr>
          <w:p w14:paraId="4961616F" w14:textId="645D738E"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C</w:t>
            </w:r>
          </w:p>
        </w:tc>
        <w:tc>
          <w:tcPr>
            <w:tcW w:w="3929" w:type="dxa"/>
            <w:gridSpan w:val="12"/>
            <w:tcBorders>
              <w:top w:val="single" w:sz="4" w:space="0" w:color="auto"/>
              <w:left w:val="nil"/>
              <w:bottom w:val="single" w:sz="4" w:space="0" w:color="auto"/>
              <w:right w:val="single" w:sz="4" w:space="0" w:color="000000"/>
            </w:tcBorders>
            <w:shd w:val="clear" w:color="000000" w:fill="C6E0B4"/>
            <w:noWrap/>
            <w:vAlign w:val="center"/>
            <w:hideMark/>
          </w:tcPr>
          <w:p w14:paraId="37E3B977" w14:textId="77777777" w:rsidR="00FB2BF9" w:rsidRPr="00525361" w:rsidRDefault="00FB2BF9"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Operation</w:t>
            </w:r>
          </w:p>
        </w:tc>
      </w:tr>
      <w:tr w:rsidR="00EC775E" w:rsidRPr="00525361" w14:paraId="54896266" w14:textId="77777777" w:rsidTr="00FB78C9">
        <w:trPr>
          <w:trHeight w:val="290"/>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08C4986B" w14:textId="6D225CF8"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Solar PV/</w:t>
            </w:r>
            <w:r>
              <w:rPr>
                <w:rFonts w:ascii="Calibri" w:eastAsia="Times New Roman" w:hAnsi="Calibri" w:cs="Calibri"/>
                <w:color w:val="000000"/>
                <w:kern w:val="0"/>
                <w:sz w:val="18"/>
                <w:szCs w:val="18"/>
                <w:lang w:eastAsia="en-GB"/>
                <w14:ligatures w14:val="none"/>
              </w:rPr>
              <w:t xml:space="preserve"> </w:t>
            </w:r>
            <w:r w:rsidRPr="00525361">
              <w:rPr>
                <w:rFonts w:ascii="Calibri" w:eastAsia="Times New Roman" w:hAnsi="Calibri" w:cs="Calibri"/>
                <w:color w:val="000000"/>
                <w:kern w:val="0"/>
                <w:sz w:val="18"/>
                <w:szCs w:val="18"/>
                <w:lang w:eastAsia="en-GB"/>
                <w14:ligatures w14:val="none"/>
              </w:rPr>
              <w:t>Onshore Wind</w:t>
            </w:r>
          </w:p>
        </w:tc>
        <w:tc>
          <w:tcPr>
            <w:tcW w:w="2124" w:type="dxa"/>
            <w:tcBorders>
              <w:top w:val="nil"/>
              <w:left w:val="nil"/>
              <w:bottom w:val="single" w:sz="4" w:space="0" w:color="auto"/>
              <w:right w:val="single" w:sz="4" w:space="0" w:color="auto"/>
            </w:tcBorders>
            <w:shd w:val="clear" w:color="auto" w:fill="auto"/>
            <w:noWrap/>
            <w:vAlign w:val="center"/>
            <w:hideMark/>
          </w:tcPr>
          <w:p w14:paraId="7917EA3A" w14:textId="79E4D49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Great Oaks nr Carli</w:t>
            </w:r>
            <w:r>
              <w:rPr>
                <w:rFonts w:ascii="Calibri" w:eastAsia="Times New Roman" w:hAnsi="Calibri" w:cs="Calibri"/>
                <w:color w:val="000000"/>
                <w:kern w:val="0"/>
                <w:sz w:val="18"/>
                <w:szCs w:val="18"/>
                <w:lang w:eastAsia="en-GB"/>
                <w14:ligatures w14:val="none"/>
              </w:rPr>
              <w:t>sle</w:t>
            </w:r>
            <w:r w:rsidRPr="00525361">
              <w:rPr>
                <w:rFonts w:ascii="Calibri" w:eastAsia="Times New Roman" w:hAnsi="Calibri" w:cs="Calibri"/>
                <w:color w:val="000000"/>
                <w:kern w:val="0"/>
                <w:sz w:val="18"/>
                <w:szCs w:val="18"/>
                <w:lang w:eastAsia="en-GB"/>
                <w14:ligatures w14:val="none"/>
              </w:rPr>
              <w:t xml:space="preserve"> (Ridge Energy, 24MW Solar, 17MW wind)</w:t>
            </w:r>
          </w:p>
        </w:tc>
        <w:tc>
          <w:tcPr>
            <w:tcW w:w="992" w:type="dxa"/>
            <w:tcBorders>
              <w:top w:val="nil"/>
              <w:left w:val="nil"/>
              <w:bottom w:val="single" w:sz="4" w:space="0" w:color="auto"/>
              <w:right w:val="single" w:sz="4" w:space="0" w:color="auto"/>
            </w:tcBorders>
            <w:shd w:val="clear" w:color="auto" w:fill="auto"/>
            <w:noWrap/>
            <w:vAlign w:val="center"/>
            <w:hideMark/>
          </w:tcPr>
          <w:p w14:paraId="2581BD77"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Green</w:t>
            </w:r>
          </w:p>
        </w:tc>
        <w:tc>
          <w:tcPr>
            <w:tcW w:w="709" w:type="dxa"/>
            <w:tcBorders>
              <w:top w:val="nil"/>
              <w:left w:val="nil"/>
              <w:bottom w:val="single" w:sz="4" w:space="0" w:color="auto"/>
              <w:right w:val="single" w:sz="4" w:space="0" w:color="auto"/>
            </w:tcBorders>
            <w:shd w:val="clear" w:color="auto" w:fill="auto"/>
            <w:noWrap/>
            <w:vAlign w:val="center"/>
            <w:hideMark/>
          </w:tcPr>
          <w:p w14:paraId="7D4E4496"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tbc</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0EE9028"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p w14:paraId="1F477196" w14:textId="3B69B26B"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 </w:t>
            </w:r>
          </w:p>
        </w:tc>
        <w:tc>
          <w:tcPr>
            <w:tcW w:w="284" w:type="dxa"/>
            <w:tcBorders>
              <w:top w:val="nil"/>
              <w:left w:val="nil"/>
              <w:bottom w:val="single" w:sz="4" w:space="0" w:color="auto"/>
              <w:right w:val="single" w:sz="4" w:space="0" w:color="auto"/>
            </w:tcBorders>
            <w:shd w:val="clear" w:color="000000" w:fill="F4B084"/>
            <w:noWrap/>
            <w:vAlign w:val="center"/>
            <w:hideMark/>
          </w:tcPr>
          <w:p w14:paraId="12DD4EFA" w14:textId="7026F04A"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Pr>
                <w:rFonts w:ascii="Calibri" w:eastAsia="Times New Roman" w:hAnsi="Calibri" w:cs="Calibri"/>
                <w:color w:val="000000"/>
                <w:kern w:val="0"/>
                <w:sz w:val="18"/>
                <w:szCs w:val="18"/>
                <w:lang w:eastAsia="en-GB"/>
                <w14:ligatures w14:val="none"/>
              </w:rPr>
              <w:t>C</w:t>
            </w:r>
          </w:p>
        </w:tc>
        <w:tc>
          <w:tcPr>
            <w:tcW w:w="3361" w:type="dxa"/>
            <w:gridSpan w:val="10"/>
            <w:tcBorders>
              <w:top w:val="single" w:sz="4" w:space="0" w:color="auto"/>
              <w:left w:val="nil"/>
              <w:bottom w:val="single" w:sz="4" w:space="0" w:color="auto"/>
              <w:right w:val="single" w:sz="4" w:space="0" w:color="000000"/>
            </w:tcBorders>
            <w:shd w:val="clear" w:color="000000" w:fill="C6E0B4"/>
            <w:noWrap/>
            <w:vAlign w:val="center"/>
            <w:hideMark/>
          </w:tcPr>
          <w:p w14:paraId="4F2B8B3C" w14:textId="77777777" w:rsidR="00EC775E" w:rsidRPr="00525361" w:rsidRDefault="00EC775E" w:rsidP="00FB2BF9">
            <w:pPr>
              <w:spacing w:after="0" w:line="240" w:lineRule="auto"/>
              <w:rPr>
                <w:rFonts w:ascii="Calibri" w:eastAsia="Times New Roman" w:hAnsi="Calibri" w:cs="Calibri"/>
                <w:color w:val="000000"/>
                <w:kern w:val="0"/>
                <w:sz w:val="18"/>
                <w:szCs w:val="18"/>
                <w:lang w:eastAsia="en-GB"/>
                <w14:ligatures w14:val="none"/>
              </w:rPr>
            </w:pPr>
            <w:r w:rsidRPr="00525361">
              <w:rPr>
                <w:rFonts w:ascii="Calibri" w:eastAsia="Times New Roman" w:hAnsi="Calibri" w:cs="Calibri"/>
                <w:color w:val="000000"/>
                <w:kern w:val="0"/>
                <w:sz w:val="18"/>
                <w:szCs w:val="18"/>
                <w:lang w:eastAsia="en-GB"/>
                <w14:ligatures w14:val="none"/>
              </w:rPr>
              <w:t>Operation</w:t>
            </w:r>
          </w:p>
        </w:tc>
      </w:tr>
    </w:tbl>
    <w:p w14:paraId="561D3803" w14:textId="77777777" w:rsidR="00A42F7B" w:rsidRDefault="00A42F7B" w:rsidP="00E832BC"/>
    <w:p w14:paraId="7556BBC3" w14:textId="63747D10" w:rsidR="00D53360" w:rsidRDefault="00D53360" w:rsidP="00E832BC">
      <w:r>
        <w:t xml:space="preserve">The above </w:t>
      </w:r>
      <w:r w:rsidR="00535A9A">
        <w:t>list includes projects identified in the ‘low’ scenario but now also includes</w:t>
      </w:r>
      <w:r>
        <w:t xml:space="preserve"> the bulk of the potential projects identified in the Cumbria Clean Energy Strategy</w:t>
      </w:r>
      <w:r w:rsidR="00535A9A">
        <w:t xml:space="preserve"> (excluding offshore wind)</w:t>
      </w:r>
      <w:r>
        <w:t>, such as:</w:t>
      </w:r>
    </w:p>
    <w:p w14:paraId="675E1D38" w14:textId="77777777" w:rsidR="002E0665" w:rsidRDefault="00D53360" w:rsidP="00D37CC5">
      <w:pPr>
        <w:pStyle w:val="ListParagraph"/>
        <w:numPr>
          <w:ilvl w:val="0"/>
          <w:numId w:val="21"/>
        </w:numPr>
      </w:pPr>
      <w:r>
        <w:t>Potential for a second small modular reactor</w:t>
      </w:r>
      <w:r w:rsidR="002E0665">
        <w:t xml:space="preserve"> located in Cumbria </w:t>
      </w:r>
    </w:p>
    <w:p w14:paraId="284208E6" w14:textId="77777777" w:rsidR="00773405" w:rsidRDefault="002E0665" w:rsidP="00D37CC5">
      <w:pPr>
        <w:pStyle w:val="ListParagraph"/>
        <w:numPr>
          <w:ilvl w:val="0"/>
          <w:numId w:val="21"/>
        </w:numPr>
      </w:pPr>
      <w:r>
        <w:t xml:space="preserve">Revival of plans for a large scale EPR reactor </w:t>
      </w:r>
      <w:r w:rsidR="00773405">
        <w:t>new build at Moorside</w:t>
      </w:r>
    </w:p>
    <w:p w14:paraId="764B7CBF" w14:textId="77777777" w:rsidR="007C5CB3" w:rsidRDefault="00773405" w:rsidP="00D37CC5">
      <w:pPr>
        <w:pStyle w:val="ListParagraph"/>
        <w:numPr>
          <w:ilvl w:val="0"/>
          <w:numId w:val="21"/>
        </w:numPr>
      </w:pPr>
      <w:r>
        <w:t xml:space="preserve">Potential for </w:t>
      </w:r>
      <w:r w:rsidR="007C5CB3">
        <w:t>an AMR reactor with associated hydrogen generation</w:t>
      </w:r>
    </w:p>
    <w:p w14:paraId="68EA408E" w14:textId="77777777" w:rsidR="007C5CB3" w:rsidRDefault="007C5CB3" w:rsidP="00D37CC5">
      <w:pPr>
        <w:pStyle w:val="ListParagraph"/>
        <w:numPr>
          <w:ilvl w:val="0"/>
          <w:numId w:val="21"/>
        </w:numPr>
      </w:pPr>
      <w:r>
        <w:t>Significant investment in an upgrade to the electricity network, which would be required if Cumbria’s clean energy output grew beyond the provision of a single SMR</w:t>
      </w:r>
    </w:p>
    <w:p w14:paraId="5786551C" w14:textId="77777777" w:rsidR="007C5CB3" w:rsidRDefault="007C5CB3" w:rsidP="00D37CC5">
      <w:pPr>
        <w:pStyle w:val="ListParagraph"/>
        <w:numPr>
          <w:ilvl w:val="0"/>
          <w:numId w:val="21"/>
        </w:numPr>
      </w:pPr>
      <w:r>
        <w:t>First work on installing a hydrogen pipe network in South Cumbria</w:t>
      </w:r>
    </w:p>
    <w:p w14:paraId="4F4BB2BF" w14:textId="599C5DB3" w:rsidR="0020137B" w:rsidRDefault="0020137B" w:rsidP="0020137B">
      <w:pPr>
        <w:pStyle w:val="Heading2"/>
      </w:pPr>
      <w:bookmarkStart w:id="20" w:name="_Toc135938269"/>
      <w:r>
        <w:t xml:space="preserve">6.2 </w:t>
      </w:r>
      <w:r w:rsidR="003A745C">
        <w:t>Key findings</w:t>
      </w:r>
      <w:r w:rsidR="003E6370">
        <w:t xml:space="preserve"> – priorities for action</w:t>
      </w:r>
      <w:bookmarkEnd w:id="20"/>
      <w:r w:rsidR="003E6370">
        <w:t xml:space="preserve"> </w:t>
      </w:r>
    </w:p>
    <w:p w14:paraId="76685710" w14:textId="4338FD98" w:rsidR="005C032D" w:rsidRDefault="005C032D" w:rsidP="00E832BC">
      <w:r>
        <w:t xml:space="preserve">The evidence above allows us to develop a number of key </w:t>
      </w:r>
      <w:r w:rsidR="003A745C">
        <w:t>findings</w:t>
      </w:r>
      <w:r>
        <w:t xml:space="preserve"> about the nature of the workforce skills requirement relating to clean energy</w:t>
      </w:r>
      <w:r w:rsidR="003A745C">
        <w:t xml:space="preserve"> in Cumbria</w:t>
      </w:r>
      <w:r w:rsidR="00232447">
        <w:t>, as follows:</w:t>
      </w:r>
    </w:p>
    <w:p w14:paraId="29C2D43D" w14:textId="062E576B" w:rsidR="006837E5" w:rsidRDefault="00A35F97" w:rsidP="003E6370">
      <w:r>
        <w:t xml:space="preserve">There is currently a limited range of clean energy developments that are both likely to proceed during the lifespan of this LSIP and </w:t>
      </w:r>
      <w:r w:rsidR="00D837CE">
        <w:t xml:space="preserve">appear set to generate significant employer workforce skills needs. Only the development of the Solway Community Power SMR, along with </w:t>
      </w:r>
      <w:r w:rsidR="00FF2724">
        <w:t>Sizewell C</w:t>
      </w:r>
      <w:r w:rsidR="00D837CE">
        <w:t xml:space="preserve"> supply chain work</w:t>
      </w:r>
      <w:r w:rsidR="00FF2724">
        <w:t xml:space="preserve"> via the MoU</w:t>
      </w:r>
      <w:r w:rsidR="00D837CE">
        <w:t>, look</w:t>
      </w:r>
      <w:r w:rsidR="006837E5">
        <w:t xml:space="preserve"> </w:t>
      </w:r>
      <w:r w:rsidR="00D837CE">
        <w:t xml:space="preserve">set to </w:t>
      </w:r>
      <w:r w:rsidR="006837E5">
        <w:t>make an impact within the next three years</w:t>
      </w:r>
      <w:r w:rsidR="00A31410">
        <w:t xml:space="preserve"> – making ‘new nuclear’ </w:t>
      </w:r>
      <w:r w:rsidR="006844F7">
        <w:t>likely to be the most productive</w:t>
      </w:r>
      <w:r w:rsidR="00A31410">
        <w:t xml:space="preserve"> source of </w:t>
      </w:r>
      <w:r w:rsidR="00EC5F97">
        <w:t xml:space="preserve">clean energy skills </w:t>
      </w:r>
      <w:r w:rsidR="006844F7">
        <w:t xml:space="preserve">demand </w:t>
      </w:r>
      <w:r w:rsidR="00EC5F97">
        <w:t>in Cumbria</w:t>
      </w:r>
      <w:r w:rsidR="006837E5">
        <w:t xml:space="preserve">. </w:t>
      </w:r>
      <w:r w:rsidR="00037289" w:rsidRPr="003E6370">
        <w:rPr>
          <w:b/>
          <w:bCs/>
        </w:rPr>
        <w:t>As part of this, work led by Cumbria Chamber to deliver a regional supply chain and skills hub model for SZC should continue</w:t>
      </w:r>
      <w:r w:rsidR="00037289">
        <w:t xml:space="preserve">, to help ensure that the potential of the MoU is realised.  </w:t>
      </w:r>
    </w:p>
    <w:p w14:paraId="13C356DF" w14:textId="047A704A" w:rsidR="006D63A6" w:rsidRDefault="006D63A6" w:rsidP="00D37CC5">
      <w:pPr>
        <w:pStyle w:val="ListParagraph"/>
        <w:numPr>
          <w:ilvl w:val="0"/>
          <w:numId w:val="19"/>
        </w:numPr>
      </w:pPr>
      <w:r>
        <w:t xml:space="preserve">The largest share of job opportunities </w:t>
      </w:r>
      <w:r w:rsidR="006837E5">
        <w:t xml:space="preserve">on clean energy projects </w:t>
      </w:r>
      <w:r>
        <w:t xml:space="preserve">will be created during the construction phase however experience suggests that this workforce is often </w:t>
      </w:r>
      <w:r w:rsidR="006866FB">
        <w:t xml:space="preserve">transient and likely to be comprised only in part by local people. </w:t>
      </w:r>
    </w:p>
    <w:p w14:paraId="70B82B3C" w14:textId="10A0299E" w:rsidR="006866FB" w:rsidRDefault="006866FB" w:rsidP="00D37CC5">
      <w:pPr>
        <w:pStyle w:val="ListParagraph"/>
        <w:numPr>
          <w:ilvl w:val="0"/>
          <w:numId w:val="19"/>
        </w:numPr>
      </w:pPr>
      <w:r>
        <w:t xml:space="preserve">The longer term benefit from clean energy developments will emerge from the engagement of local people in the operation of these new technologies, however the workforce requirement of such developments on an ongoing basis appears to be relatively low except in the case of offshore wind (which has already been covered via a separate report to Cumbria Chamber). </w:t>
      </w:r>
    </w:p>
    <w:p w14:paraId="4B726396" w14:textId="5D25A052" w:rsidR="00A0341B" w:rsidRDefault="00401C62" w:rsidP="004C3815">
      <w:pPr>
        <w:spacing w:after="0"/>
      </w:pPr>
      <w:r w:rsidRPr="00401C62">
        <w:rPr>
          <w:b/>
          <w:bCs/>
        </w:rPr>
        <w:t>Key occupations and upskilling needs</w:t>
      </w:r>
      <w:r w:rsidR="003E6370">
        <w:rPr>
          <w:b/>
          <w:bCs/>
        </w:rPr>
        <w:t xml:space="preserve">: </w:t>
      </w:r>
      <w:r>
        <w:t xml:space="preserve">In lieu of more detailed workforce needs data from employers </w:t>
      </w:r>
      <w:r w:rsidR="002E1CA8">
        <w:t xml:space="preserve">seeking to develop clean energy in Cumbria, education and training providers should focus on ensuring that Cumbrian residents </w:t>
      </w:r>
      <w:r w:rsidR="00B13F08">
        <w:t>are equipped with core engineering skills required by energy employers</w:t>
      </w:r>
      <w:r w:rsidR="001474B9">
        <w:t>, which can then be adapted to each clean energy technology as required (usually via short course provision)</w:t>
      </w:r>
      <w:r w:rsidR="007C2BF3">
        <w:t>. Priority occupations</w:t>
      </w:r>
      <w:r w:rsidR="007C2BF3">
        <w:rPr>
          <w:rStyle w:val="FootnoteReference"/>
        </w:rPr>
        <w:footnoteReference w:id="24"/>
      </w:r>
      <w:r w:rsidR="007C2BF3">
        <w:t xml:space="preserve"> are</w:t>
      </w:r>
      <w:r w:rsidR="00B13F08">
        <w:t>:</w:t>
      </w:r>
    </w:p>
    <w:p w14:paraId="1E14AC9A" w14:textId="5349D4DE" w:rsidR="00547443" w:rsidRDefault="00547443" w:rsidP="00D37CC5">
      <w:pPr>
        <w:pStyle w:val="ListParagraph"/>
        <w:numPr>
          <w:ilvl w:val="1"/>
          <w:numId w:val="19"/>
        </w:numPr>
      </w:pPr>
      <w:r>
        <w:t>Electrical engineering (L6)</w:t>
      </w:r>
    </w:p>
    <w:p w14:paraId="6C8095CC" w14:textId="5F7FF391" w:rsidR="00547443" w:rsidRDefault="00547443" w:rsidP="00D37CC5">
      <w:pPr>
        <w:pStyle w:val="ListParagraph"/>
        <w:numPr>
          <w:ilvl w:val="1"/>
          <w:numId w:val="19"/>
        </w:numPr>
      </w:pPr>
      <w:r>
        <w:t>Mechanical engineering (</w:t>
      </w:r>
      <w:r w:rsidR="00C164E0">
        <w:t>L</w:t>
      </w:r>
      <w:r>
        <w:t>6)</w:t>
      </w:r>
    </w:p>
    <w:p w14:paraId="207BB55B" w14:textId="56042DD3" w:rsidR="00547443" w:rsidRDefault="00547443" w:rsidP="00D37CC5">
      <w:pPr>
        <w:pStyle w:val="ListParagraph"/>
        <w:numPr>
          <w:ilvl w:val="1"/>
          <w:numId w:val="19"/>
        </w:numPr>
      </w:pPr>
      <w:r>
        <w:t>Engineering maintenance (L3)</w:t>
      </w:r>
    </w:p>
    <w:p w14:paraId="31206618" w14:textId="1B27151A" w:rsidR="00EC7677" w:rsidRDefault="00EC7677" w:rsidP="00D37CC5">
      <w:pPr>
        <w:pStyle w:val="ListParagraph"/>
        <w:numPr>
          <w:ilvl w:val="1"/>
          <w:numId w:val="19"/>
        </w:numPr>
      </w:pPr>
      <w:r>
        <w:t>Engineering technicians (L3)</w:t>
      </w:r>
    </w:p>
    <w:p w14:paraId="0D22BFC9" w14:textId="44E64676" w:rsidR="00B13F08" w:rsidRDefault="00170537" w:rsidP="00D37CC5">
      <w:pPr>
        <w:pStyle w:val="ListParagraph"/>
        <w:numPr>
          <w:ilvl w:val="1"/>
          <w:numId w:val="19"/>
        </w:numPr>
      </w:pPr>
      <w:r>
        <w:t>Pipe and plate welders (L</w:t>
      </w:r>
      <w:r w:rsidR="00BB7E1A">
        <w:t>3</w:t>
      </w:r>
      <w:r w:rsidR="00935BD5">
        <w:t>)</w:t>
      </w:r>
    </w:p>
    <w:p w14:paraId="12C7ABD8" w14:textId="7D0F1553" w:rsidR="00BB7E1A" w:rsidRDefault="00170537" w:rsidP="00D37CC5">
      <w:pPr>
        <w:pStyle w:val="ListParagraph"/>
        <w:numPr>
          <w:ilvl w:val="1"/>
          <w:numId w:val="19"/>
        </w:numPr>
      </w:pPr>
      <w:r>
        <w:t>Engineering</w:t>
      </w:r>
      <w:r w:rsidR="00BB7E1A">
        <w:t xml:space="preserve"> fitters (L3)</w:t>
      </w:r>
    </w:p>
    <w:p w14:paraId="773078D9" w14:textId="0916262A" w:rsidR="00DF2B35" w:rsidRDefault="00DF2B35" w:rsidP="00D37CC5">
      <w:pPr>
        <w:pStyle w:val="ListParagraph"/>
        <w:numPr>
          <w:ilvl w:val="1"/>
          <w:numId w:val="19"/>
        </w:numPr>
      </w:pPr>
      <w:r>
        <w:t>Engineering design and draughtspersons (L3)</w:t>
      </w:r>
    </w:p>
    <w:p w14:paraId="57F266A9" w14:textId="18C62386" w:rsidR="00FE3ABB" w:rsidRPr="00CD0861" w:rsidRDefault="006E1D5E" w:rsidP="00D37CC5">
      <w:pPr>
        <w:pStyle w:val="ListParagraph"/>
        <w:numPr>
          <w:ilvl w:val="1"/>
          <w:numId w:val="19"/>
        </w:numPr>
      </w:pPr>
      <w:r>
        <w:t xml:space="preserve">Project controls </w:t>
      </w:r>
      <w:r w:rsidR="003C408C">
        <w:t xml:space="preserve">technician (L3) / </w:t>
      </w:r>
      <w:r>
        <w:t>professional (L6)</w:t>
      </w:r>
    </w:p>
    <w:p w14:paraId="02D7B01C" w14:textId="0B9DFE67" w:rsidR="00BA745B" w:rsidRDefault="005A0CA2" w:rsidP="002D5793">
      <w:pPr>
        <w:spacing w:after="0"/>
      </w:pPr>
      <w:r>
        <w:t xml:space="preserve">Employment opportunities linked to the construction of </w:t>
      </w:r>
      <w:r w:rsidR="00872F74">
        <w:t>clean</w:t>
      </w:r>
      <w:r>
        <w:t xml:space="preserve"> energy developments promise significant job </w:t>
      </w:r>
      <w:r w:rsidR="00267337">
        <w:t>vacancies but these are likely to be short-lived on all bar the largest projects (</w:t>
      </w:r>
      <w:r w:rsidR="00872F74">
        <w:t>where builds can last up to 10 years)</w:t>
      </w:r>
      <w:r w:rsidR="00BA745B">
        <w:t xml:space="preserve">. In response to this, existing providers should maintain </w:t>
      </w:r>
      <w:r w:rsidR="00861405">
        <w:t xml:space="preserve">a focus on key </w:t>
      </w:r>
      <w:r w:rsidR="00C22899">
        <w:t xml:space="preserve">technical </w:t>
      </w:r>
      <w:r w:rsidR="00861405">
        <w:t>civil engineering and construction occupations, such as:</w:t>
      </w:r>
    </w:p>
    <w:p w14:paraId="289678CD" w14:textId="1295AF4A" w:rsidR="00AE25B8" w:rsidRDefault="00AE25B8" w:rsidP="00D37CC5">
      <w:pPr>
        <w:pStyle w:val="ListParagraph"/>
        <w:numPr>
          <w:ilvl w:val="0"/>
          <w:numId w:val="22"/>
        </w:numPr>
      </w:pPr>
      <w:r>
        <w:t>Civil engineers (L6)</w:t>
      </w:r>
      <w:r w:rsidR="00597AD5">
        <w:t xml:space="preserve"> and technicians (L3)</w:t>
      </w:r>
    </w:p>
    <w:p w14:paraId="7EA030BA" w14:textId="26E83642" w:rsidR="00861405" w:rsidRDefault="009B3F93" w:rsidP="00D37CC5">
      <w:pPr>
        <w:pStyle w:val="ListParagraph"/>
        <w:numPr>
          <w:ilvl w:val="0"/>
          <w:numId w:val="22"/>
        </w:numPr>
      </w:pPr>
      <w:r>
        <w:t xml:space="preserve">Construction </w:t>
      </w:r>
      <w:r w:rsidR="00265CD2">
        <w:t xml:space="preserve">site </w:t>
      </w:r>
      <w:r>
        <w:t>supervisor</w:t>
      </w:r>
      <w:r w:rsidR="00265CD2">
        <w:t>s</w:t>
      </w:r>
      <w:r>
        <w:t xml:space="preserve"> (L4)</w:t>
      </w:r>
      <w:r w:rsidR="00DB1E7D">
        <w:t xml:space="preserve"> and managers (L6)</w:t>
      </w:r>
    </w:p>
    <w:p w14:paraId="73F8594F" w14:textId="714152BF" w:rsidR="009368C3" w:rsidRDefault="00C22899" w:rsidP="00D37CC5">
      <w:pPr>
        <w:pStyle w:val="ListParagraph"/>
        <w:numPr>
          <w:ilvl w:val="0"/>
          <w:numId w:val="22"/>
        </w:numPr>
      </w:pPr>
      <w:r>
        <w:t>Quantity surveyors (L6)</w:t>
      </w:r>
    </w:p>
    <w:p w14:paraId="0BCB559B" w14:textId="02F52EA6" w:rsidR="002D5793" w:rsidRDefault="00EC7677" w:rsidP="00D37CC5">
      <w:pPr>
        <w:pStyle w:val="ListParagraph"/>
        <w:numPr>
          <w:ilvl w:val="0"/>
          <w:numId w:val="22"/>
        </w:numPr>
      </w:pPr>
      <w:r>
        <w:t xml:space="preserve">Engineering construction riggers </w:t>
      </w:r>
      <w:r w:rsidR="002D5793">
        <w:t>and erectors (L3)</w:t>
      </w:r>
    </w:p>
    <w:p w14:paraId="39FD7A9B" w14:textId="686C6BF8" w:rsidR="007E4CFD" w:rsidRDefault="007E4CFD" w:rsidP="00D37CC5">
      <w:pPr>
        <w:pStyle w:val="ListParagraph"/>
        <w:numPr>
          <w:ilvl w:val="0"/>
          <w:numId w:val="22"/>
        </w:numPr>
      </w:pPr>
      <w:r>
        <w:t xml:space="preserve">Electrical trades </w:t>
      </w:r>
      <w:r w:rsidR="009B2A7F">
        <w:t>and installation (L3)</w:t>
      </w:r>
    </w:p>
    <w:p w14:paraId="4B5EDDC6" w14:textId="250A172D" w:rsidR="009B2A7F" w:rsidRDefault="009B2A7F" w:rsidP="00D37CC5">
      <w:pPr>
        <w:pStyle w:val="ListParagraph"/>
        <w:numPr>
          <w:ilvl w:val="0"/>
          <w:numId w:val="22"/>
        </w:numPr>
      </w:pPr>
      <w:r>
        <w:t>Scaffolders (L2)</w:t>
      </w:r>
    </w:p>
    <w:p w14:paraId="3D703E36" w14:textId="77777777" w:rsidR="00BC01AD" w:rsidRPr="00BC01AD" w:rsidRDefault="00BC01AD" w:rsidP="00BC01AD">
      <w:pPr>
        <w:pStyle w:val="ListParagraph"/>
        <w:ind w:left="1080"/>
        <w:rPr>
          <w:highlight w:val="yellow"/>
        </w:rPr>
      </w:pPr>
    </w:p>
    <w:p w14:paraId="0EAE2E9C" w14:textId="6F42C291" w:rsidR="00A07258" w:rsidRDefault="00FE3ABB" w:rsidP="00D05FA8">
      <w:pPr>
        <w:spacing w:after="0" w:line="276" w:lineRule="auto"/>
      </w:pPr>
      <w:r w:rsidRPr="005D3B26">
        <w:rPr>
          <w:b/>
          <w:bCs/>
        </w:rPr>
        <w:t>Employer leadership</w:t>
      </w:r>
      <w:r w:rsidR="00FE09FB" w:rsidRPr="005D3B26">
        <w:rPr>
          <w:b/>
          <w:bCs/>
        </w:rPr>
        <w:t xml:space="preserve">: </w:t>
      </w:r>
      <w:r w:rsidR="00D450B6" w:rsidRPr="00D450B6">
        <w:t>In an</w:t>
      </w:r>
      <w:r w:rsidR="00D450B6">
        <w:t xml:space="preserve"> environment where the type, scale and timing of employer skills needs is extremely uncertain, there is a need to develop </w:t>
      </w:r>
      <w:r w:rsidR="002F1017">
        <w:t xml:space="preserve">an infrastructure whereby information about employer needs can be fed into education and training providers as it emerges. This might best be done via </w:t>
      </w:r>
      <w:r w:rsidR="00333321">
        <w:rPr>
          <w:b/>
          <w:bCs/>
        </w:rPr>
        <w:t>a</w:t>
      </w:r>
      <w:r w:rsidR="00D05FA8">
        <w:rPr>
          <w:b/>
          <w:bCs/>
        </w:rPr>
        <w:t xml:space="preserve"> </w:t>
      </w:r>
      <w:r w:rsidR="006D53FE">
        <w:rPr>
          <w:b/>
          <w:bCs/>
        </w:rPr>
        <w:t>c</w:t>
      </w:r>
      <w:r w:rsidR="00D05FA8">
        <w:rPr>
          <w:b/>
          <w:bCs/>
        </w:rPr>
        <w:t xml:space="preserve">lean </w:t>
      </w:r>
      <w:r w:rsidR="006D53FE">
        <w:rPr>
          <w:b/>
          <w:bCs/>
        </w:rPr>
        <w:t>e</w:t>
      </w:r>
      <w:r w:rsidR="00D05FA8">
        <w:rPr>
          <w:b/>
          <w:bCs/>
        </w:rPr>
        <w:t xml:space="preserve">nergy </w:t>
      </w:r>
      <w:r w:rsidR="006D53FE">
        <w:rPr>
          <w:b/>
          <w:bCs/>
        </w:rPr>
        <w:t>employer network</w:t>
      </w:r>
      <w:r w:rsidR="00D05FA8">
        <w:rPr>
          <w:b/>
          <w:bCs/>
        </w:rPr>
        <w:t xml:space="preserve">, </w:t>
      </w:r>
      <w:r w:rsidR="00D05FA8">
        <w:t xml:space="preserve">to enable </w:t>
      </w:r>
      <w:r w:rsidR="00A07258">
        <w:t>employers will be better able to collectively:</w:t>
      </w:r>
    </w:p>
    <w:p w14:paraId="5B315E0E" w14:textId="55750DB0" w:rsidR="00A07258" w:rsidRDefault="00A07258" w:rsidP="00D37CC5">
      <w:pPr>
        <w:pStyle w:val="ListParagraph"/>
        <w:numPr>
          <w:ilvl w:val="1"/>
          <w:numId w:val="23"/>
        </w:numPr>
        <w:spacing w:after="0" w:line="276" w:lineRule="auto"/>
      </w:pPr>
      <w:r w:rsidRPr="00852694">
        <w:t>Provide s</w:t>
      </w:r>
      <w:r>
        <w:t>trategic and operational direction to the curriculum offer and other, wider learning programmes</w:t>
      </w:r>
      <w:r w:rsidR="00572947">
        <w:t>.</w:t>
      </w:r>
    </w:p>
    <w:p w14:paraId="230E908C" w14:textId="069B0776" w:rsidR="00F73A71" w:rsidRDefault="00A07258" w:rsidP="00D37CC5">
      <w:pPr>
        <w:pStyle w:val="ListParagraph"/>
        <w:numPr>
          <w:ilvl w:val="0"/>
          <w:numId w:val="24"/>
        </w:numPr>
        <w:spacing w:after="0" w:line="276" w:lineRule="auto"/>
      </w:pPr>
      <w:r>
        <w:t xml:space="preserve">Co-invest resources in </w:t>
      </w:r>
      <w:r w:rsidR="00F73A71">
        <w:t>training programmes developed with their input</w:t>
      </w:r>
      <w:r w:rsidR="00572947">
        <w:t>.</w:t>
      </w:r>
    </w:p>
    <w:p w14:paraId="74469E8A" w14:textId="664AC601" w:rsidR="00A07258" w:rsidRDefault="00852694" w:rsidP="00D37CC5">
      <w:pPr>
        <w:pStyle w:val="ListParagraph"/>
        <w:numPr>
          <w:ilvl w:val="0"/>
          <w:numId w:val="24"/>
        </w:numPr>
        <w:spacing w:after="0" w:line="276" w:lineRule="auto"/>
      </w:pPr>
      <w:r>
        <w:t>Offer</w:t>
      </w:r>
      <w:r w:rsidR="00A07258">
        <w:t xml:space="preserve"> staff on a day release basis to enable the delivery of rigorous, high quality, adaptable learning programmes from level </w:t>
      </w:r>
      <w:r w:rsidR="00F73A71">
        <w:t>3</w:t>
      </w:r>
      <w:r w:rsidR="00A07258">
        <w:t xml:space="preserve"> to level 7, </w:t>
      </w:r>
      <w:r w:rsidR="00814631">
        <w:t>noting</w:t>
      </w:r>
      <w:r w:rsidR="00A07258">
        <w:t xml:space="preserve"> the </w:t>
      </w:r>
      <w:r w:rsidR="00F73A71">
        <w:t xml:space="preserve">challenges faced by providers in </w:t>
      </w:r>
      <w:r>
        <w:t>recruiting and retaining teaching staff with relevant knowledge</w:t>
      </w:r>
      <w:r w:rsidR="00572947">
        <w:t>.</w:t>
      </w:r>
    </w:p>
    <w:p w14:paraId="543D0E91" w14:textId="4F1F8DD5" w:rsidR="00A07258" w:rsidRDefault="00814631" w:rsidP="00D37CC5">
      <w:pPr>
        <w:pStyle w:val="ListParagraph"/>
        <w:numPr>
          <w:ilvl w:val="0"/>
          <w:numId w:val="24"/>
        </w:numPr>
        <w:spacing w:after="0"/>
      </w:pPr>
      <w:r>
        <w:t>Participate in</w:t>
      </w:r>
      <w:r w:rsidR="00A07258">
        <w:t xml:space="preserve"> work with schools and colleges to inspire young people, their teachers, parents and peers, to seek careers in </w:t>
      </w:r>
      <w:r w:rsidR="00852694">
        <w:t>clean energy</w:t>
      </w:r>
      <w:r w:rsidR="00A07258">
        <w:t xml:space="preserve">. This could include sponsored ‘young apprenticeship’ programmes, offering internships and summer job placements to year 9/10 </w:t>
      </w:r>
      <w:r w:rsidR="00C833AC">
        <w:t>pupils</w:t>
      </w:r>
      <w:r w:rsidR="00A07258">
        <w:t xml:space="preserve"> on a competitive basis</w:t>
      </w:r>
      <w:r>
        <w:t xml:space="preserve"> (see below)</w:t>
      </w:r>
      <w:r w:rsidR="000B69C7">
        <w:t>.</w:t>
      </w:r>
    </w:p>
    <w:p w14:paraId="4564A306" w14:textId="0DEC5EE6" w:rsidR="00A07258" w:rsidRDefault="00A07258" w:rsidP="00D37CC5">
      <w:pPr>
        <w:pStyle w:val="ListParagraph"/>
        <w:numPr>
          <w:ilvl w:val="0"/>
          <w:numId w:val="24"/>
        </w:numPr>
        <w:spacing w:after="0"/>
      </w:pPr>
      <w:r>
        <w:t xml:space="preserve">Shaping the focus of a wide range of productivity and business development programmes </w:t>
      </w:r>
      <w:r w:rsidR="00BC01AD">
        <w:t>delivered by the</w:t>
      </w:r>
      <w:r>
        <w:t xml:space="preserve"> Business Growth Hub</w:t>
      </w:r>
      <w:r w:rsidR="00A912E0">
        <w:t>.</w:t>
      </w:r>
      <w:r>
        <w:t xml:space="preserve"> </w:t>
      </w:r>
    </w:p>
    <w:p w14:paraId="47801EEB" w14:textId="40CEE88F" w:rsidR="00FE3ABB" w:rsidRDefault="00FE3ABB" w:rsidP="00FE09FB">
      <w:pPr>
        <w:spacing w:after="0"/>
      </w:pPr>
    </w:p>
    <w:p w14:paraId="2170ADFB" w14:textId="12462248" w:rsidR="006120DD" w:rsidRDefault="00B935F0" w:rsidP="00FE09FB">
      <w:pPr>
        <w:spacing w:after="0"/>
      </w:pPr>
      <w:r w:rsidRPr="00FE09FB">
        <w:rPr>
          <w:b/>
          <w:bCs/>
        </w:rPr>
        <w:t>Enhancements to careers information, advice and guidance will be required</w:t>
      </w:r>
      <w:r>
        <w:t xml:space="preserve"> to ensure that there are sufficient well-trained Cumbria residents ready to access the labour market opportunities that clean energy will create. </w:t>
      </w:r>
      <w:r w:rsidR="0079188D">
        <w:t xml:space="preserve">Cumbria’s declining </w:t>
      </w:r>
      <w:r w:rsidR="00C056C0">
        <w:t xml:space="preserve">working age </w:t>
      </w:r>
      <w:r w:rsidR="0079188D">
        <w:t>population</w:t>
      </w:r>
      <w:r w:rsidR="00F85E7D">
        <w:t xml:space="preserve"> is centred on West Cumbria (the former Copeland and </w:t>
      </w:r>
      <w:proofErr w:type="spellStart"/>
      <w:r w:rsidR="00F85E7D">
        <w:t>Allerdale</w:t>
      </w:r>
      <w:proofErr w:type="spellEnd"/>
      <w:r w:rsidR="00F85E7D">
        <w:t xml:space="preserve"> districts) and Barrow in Furness – these are the locations at the heart of Cumbria’s clean energy ambitions</w:t>
      </w:r>
      <w:r w:rsidR="007D1003">
        <w:t xml:space="preserve">. But these areas are </w:t>
      </w:r>
      <w:r w:rsidR="00C056C0">
        <w:t xml:space="preserve">being affected by steep declines in the </w:t>
      </w:r>
      <w:r w:rsidR="00A257F9">
        <w:t xml:space="preserve">working age population </w:t>
      </w:r>
      <w:r w:rsidR="00C056C0">
        <w:t xml:space="preserve">(down by 11% in the case of Copeland since 2011). </w:t>
      </w:r>
      <w:r w:rsidR="007D1003">
        <w:t xml:space="preserve">With major employers such as Sellafield and BAE Systems already well established, there is a risk that insufficient numbers of local people will come forward seeking careers in new clean energy opportunities. </w:t>
      </w:r>
    </w:p>
    <w:p w14:paraId="6A2547B7" w14:textId="049CDE06" w:rsidR="004D468F" w:rsidRPr="00AC2FBF" w:rsidRDefault="00AC2FBF" w:rsidP="004D468F">
      <w:pPr>
        <w:spacing w:after="0" w:line="240" w:lineRule="auto"/>
      </w:pPr>
      <w:r w:rsidRPr="00AC2FBF">
        <w:t xml:space="preserve">Action is required to </w:t>
      </w:r>
      <w:r w:rsidRPr="00AC2FBF">
        <w:rPr>
          <w:rFonts w:eastAsia="Times New Roman"/>
          <w:color w:val="212121"/>
          <w:lang w:eastAsia="en-GB"/>
          <w14:ligatures w14:val="none"/>
        </w:rPr>
        <w:t>build on existing good work to improve and better coordinate careers education and business involvement in schools –</w:t>
      </w:r>
      <w:r w:rsidR="004D468F">
        <w:rPr>
          <w:rFonts w:eastAsia="Times New Roman"/>
          <w:color w:val="212121"/>
          <w:lang w:eastAsia="en-GB"/>
          <w14:ligatures w14:val="none"/>
        </w:rPr>
        <w:t xml:space="preserve"> such as the </w:t>
      </w:r>
      <w:r w:rsidRPr="00AC2FBF">
        <w:rPr>
          <w:rFonts w:eastAsia="Times New Roman"/>
          <w:color w:val="212121"/>
          <w:lang w:eastAsia="en-GB"/>
          <w14:ligatures w14:val="none"/>
        </w:rPr>
        <w:t xml:space="preserve">“Power On” book for Nuclear for other sectors – </w:t>
      </w:r>
      <w:r w:rsidR="004D468F">
        <w:rPr>
          <w:rFonts w:eastAsia="Times New Roman"/>
          <w:color w:val="212121"/>
          <w:lang w:eastAsia="en-GB"/>
          <w14:ligatures w14:val="none"/>
        </w:rPr>
        <w:t xml:space="preserve">to inspire engagement in the energy sector by a new generation. </w:t>
      </w:r>
      <w:r w:rsidR="00FA0FAE">
        <w:rPr>
          <w:rFonts w:eastAsia="Times New Roman"/>
          <w:color w:val="212121"/>
          <w:lang w:eastAsia="en-GB"/>
          <w14:ligatures w14:val="none"/>
        </w:rPr>
        <w:t>This could be delivered via</w:t>
      </w:r>
      <w:r w:rsidR="00834259">
        <w:rPr>
          <w:rFonts w:eastAsia="Times New Roman"/>
          <w:color w:val="212121"/>
          <w:lang w:eastAsia="en-GB"/>
          <w14:ligatures w14:val="none"/>
        </w:rPr>
        <w:t xml:space="preserve"> an enhanced role (and resource) for the current Careers Hub, hosted by Cumbria LEP. </w:t>
      </w:r>
    </w:p>
    <w:p w14:paraId="67F5AB47" w14:textId="77777777" w:rsidR="00872F74" w:rsidRDefault="00872F74" w:rsidP="00FE09FB">
      <w:pPr>
        <w:spacing w:after="0"/>
        <w:rPr>
          <w:b/>
          <w:bCs/>
        </w:rPr>
      </w:pPr>
    </w:p>
    <w:p w14:paraId="7197D27F" w14:textId="53B20729" w:rsidR="008647A5" w:rsidRDefault="003C408C" w:rsidP="002A06C3">
      <w:pPr>
        <w:rPr>
          <w:rFonts w:eastAsia="Times New Roman"/>
          <w:color w:val="212121"/>
          <w:lang w:eastAsia="en-GB"/>
          <w14:ligatures w14:val="none"/>
        </w:rPr>
      </w:pPr>
      <w:r>
        <w:rPr>
          <w:rFonts w:eastAsia="Times New Roman"/>
          <w:b/>
          <w:bCs/>
          <w:color w:val="212121"/>
          <w:lang w:eastAsia="en-GB"/>
          <w14:ligatures w14:val="none"/>
        </w:rPr>
        <w:t xml:space="preserve">There is scope to </w:t>
      </w:r>
      <w:r w:rsidR="000B0656">
        <w:rPr>
          <w:rFonts w:eastAsia="Times New Roman"/>
          <w:b/>
          <w:bCs/>
          <w:color w:val="212121"/>
          <w:lang w:eastAsia="en-GB"/>
          <w14:ligatures w14:val="none"/>
        </w:rPr>
        <w:t>set out a more ambitious vision for technical education and training delivery from Cumbria that has nationwide appeal</w:t>
      </w:r>
      <w:r w:rsidR="00C43E14">
        <w:rPr>
          <w:rFonts w:eastAsia="Times New Roman"/>
          <w:b/>
          <w:bCs/>
          <w:color w:val="212121"/>
          <w:lang w:eastAsia="en-GB"/>
          <w14:ligatures w14:val="none"/>
        </w:rPr>
        <w:t xml:space="preserve"> while ensuring </w:t>
      </w:r>
      <w:r w:rsidR="00A441DE">
        <w:rPr>
          <w:rFonts w:eastAsia="Times New Roman"/>
          <w:b/>
          <w:bCs/>
          <w:color w:val="212121"/>
          <w:lang w:eastAsia="en-GB"/>
          <w14:ligatures w14:val="none"/>
        </w:rPr>
        <w:t>providers are ready when clean energy demand appears</w:t>
      </w:r>
      <w:r w:rsidR="000B0656">
        <w:rPr>
          <w:rFonts w:eastAsia="Times New Roman"/>
          <w:b/>
          <w:bCs/>
          <w:color w:val="212121"/>
          <w:lang w:eastAsia="en-GB"/>
          <w14:ligatures w14:val="none"/>
        </w:rPr>
        <w:t xml:space="preserve">. </w:t>
      </w:r>
      <w:r w:rsidR="00562CBA" w:rsidRPr="000B0656">
        <w:rPr>
          <w:rFonts w:eastAsia="Times New Roman"/>
          <w:color w:val="212121"/>
          <w:lang w:eastAsia="en-GB"/>
          <w14:ligatures w14:val="none"/>
        </w:rPr>
        <w:t xml:space="preserve">Overall Cumbria </w:t>
      </w:r>
      <w:r w:rsidR="00A441DE">
        <w:rPr>
          <w:rFonts w:eastAsia="Times New Roman"/>
          <w:color w:val="212121"/>
          <w:lang w:eastAsia="en-GB"/>
          <w14:ligatures w14:val="none"/>
        </w:rPr>
        <w:t>is</w:t>
      </w:r>
      <w:r w:rsidR="00562CBA" w:rsidRPr="000B0656">
        <w:rPr>
          <w:rFonts w:eastAsia="Times New Roman"/>
          <w:color w:val="212121"/>
          <w:lang w:eastAsia="en-GB"/>
          <w14:ligatures w14:val="none"/>
        </w:rPr>
        <w:t xml:space="preserve"> well served by </w:t>
      </w:r>
      <w:r w:rsidR="00394A15" w:rsidRPr="000B0656">
        <w:rPr>
          <w:rFonts w:eastAsia="Times New Roman"/>
          <w:color w:val="212121"/>
          <w:lang w:eastAsia="en-GB"/>
          <w14:ligatures w14:val="none"/>
        </w:rPr>
        <w:t>technical education and vocational training provision</w:t>
      </w:r>
      <w:r w:rsidR="00394A15">
        <w:rPr>
          <w:rFonts w:eastAsia="Times New Roman"/>
          <w:color w:val="212121"/>
          <w:lang w:eastAsia="en-GB"/>
          <w14:ligatures w14:val="none"/>
        </w:rPr>
        <w:t xml:space="preserve"> within the key engineering occupations that are likely to be central to future clean energy employer needs.</w:t>
      </w:r>
      <w:r w:rsidR="002405B5">
        <w:rPr>
          <w:rFonts w:eastAsia="Times New Roman"/>
          <w:color w:val="212121"/>
          <w:lang w:eastAsia="en-GB"/>
          <w14:ligatures w14:val="none"/>
        </w:rPr>
        <w:t xml:space="preserve"> There is an opportunity to broaden the </w:t>
      </w:r>
      <w:r w:rsidR="008647A5">
        <w:rPr>
          <w:rFonts w:eastAsia="Times New Roman"/>
          <w:color w:val="212121"/>
          <w:lang w:eastAsia="en-GB"/>
          <w14:ligatures w14:val="none"/>
        </w:rPr>
        <w:t xml:space="preserve">ambition and </w:t>
      </w:r>
      <w:r w:rsidR="002405B5">
        <w:rPr>
          <w:rFonts w:eastAsia="Times New Roman"/>
          <w:color w:val="212121"/>
          <w:lang w:eastAsia="en-GB"/>
          <w14:ligatures w14:val="none"/>
        </w:rPr>
        <w:t xml:space="preserve">reach of provision </w:t>
      </w:r>
      <w:r w:rsidR="008647A5">
        <w:rPr>
          <w:rFonts w:eastAsia="Times New Roman"/>
          <w:color w:val="212121"/>
          <w:lang w:eastAsia="en-GB"/>
          <w14:ligatures w14:val="none"/>
        </w:rPr>
        <w:t>further, such as by:</w:t>
      </w:r>
    </w:p>
    <w:p w14:paraId="20810E7B" w14:textId="46F867AC" w:rsidR="008647A5" w:rsidRDefault="008647A5" w:rsidP="00D37CC5">
      <w:pPr>
        <w:pStyle w:val="ListParagraph"/>
        <w:numPr>
          <w:ilvl w:val="0"/>
          <w:numId w:val="25"/>
        </w:numPr>
        <w:rPr>
          <w:rFonts w:eastAsia="Times New Roman"/>
          <w:color w:val="212121"/>
          <w:lang w:eastAsia="en-GB"/>
          <w14:ligatures w14:val="none"/>
        </w:rPr>
      </w:pPr>
      <w:r>
        <w:rPr>
          <w:rFonts w:eastAsia="Times New Roman"/>
          <w:color w:val="212121"/>
          <w:lang w:eastAsia="en-GB"/>
          <w14:ligatures w14:val="none"/>
        </w:rPr>
        <w:t>Establishing relationships between Cumbria providers and the key player</w:t>
      </w:r>
      <w:r w:rsidR="00DE70A3">
        <w:rPr>
          <w:rFonts w:eastAsia="Times New Roman"/>
          <w:color w:val="212121"/>
          <w:lang w:eastAsia="en-GB"/>
          <w14:ligatures w14:val="none"/>
        </w:rPr>
        <w:t>s</w:t>
      </w:r>
      <w:r>
        <w:rPr>
          <w:rFonts w:eastAsia="Times New Roman"/>
          <w:color w:val="212121"/>
          <w:lang w:eastAsia="en-GB"/>
          <w14:ligatures w14:val="none"/>
        </w:rPr>
        <w:t xml:space="preserve"> in the clean energy industry that go beyond transactional arrangements whereby providers only respond once employers have known volumes of skills demand, and into a more engaged model of employer engagement </w:t>
      </w:r>
      <w:r w:rsidR="00081366">
        <w:rPr>
          <w:rFonts w:eastAsia="Times New Roman"/>
          <w:color w:val="212121"/>
          <w:lang w:eastAsia="en-GB"/>
          <w14:ligatures w14:val="none"/>
        </w:rPr>
        <w:t>–</w:t>
      </w:r>
      <w:r>
        <w:rPr>
          <w:rFonts w:eastAsia="Times New Roman"/>
          <w:color w:val="212121"/>
          <w:lang w:eastAsia="en-GB"/>
          <w14:ligatures w14:val="none"/>
        </w:rPr>
        <w:t xml:space="preserve"> </w:t>
      </w:r>
      <w:r w:rsidR="00081366">
        <w:rPr>
          <w:rFonts w:eastAsia="Times New Roman"/>
          <w:color w:val="212121"/>
          <w:lang w:eastAsia="en-GB"/>
          <w14:ligatures w14:val="none"/>
        </w:rPr>
        <w:t>co-designing</w:t>
      </w:r>
      <w:r w:rsidR="000B69C7">
        <w:rPr>
          <w:rFonts w:eastAsia="Times New Roman"/>
          <w:color w:val="212121"/>
          <w:lang w:eastAsia="en-GB"/>
          <w14:ligatures w14:val="none"/>
        </w:rPr>
        <w:t xml:space="preserve"> and co-delivering</w:t>
      </w:r>
      <w:r w:rsidR="00081366">
        <w:rPr>
          <w:rFonts w:eastAsia="Times New Roman"/>
          <w:color w:val="212121"/>
          <w:lang w:eastAsia="en-GB"/>
          <w14:ligatures w14:val="none"/>
        </w:rPr>
        <w:t xml:space="preserve"> programmes, sharing innovations, participating in applied research, spin-outs, etc</w:t>
      </w:r>
    </w:p>
    <w:p w14:paraId="6299F725" w14:textId="2B26F364" w:rsidR="000B0656" w:rsidRDefault="00081366" w:rsidP="00D37CC5">
      <w:pPr>
        <w:pStyle w:val="ListParagraph"/>
        <w:numPr>
          <w:ilvl w:val="0"/>
          <w:numId w:val="25"/>
        </w:numPr>
        <w:rPr>
          <w:rFonts w:eastAsia="Times New Roman"/>
          <w:color w:val="212121"/>
          <w:lang w:eastAsia="en-GB"/>
          <w14:ligatures w14:val="none"/>
        </w:rPr>
      </w:pPr>
      <w:r>
        <w:rPr>
          <w:rFonts w:eastAsia="Times New Roman"/>
          <w:color w:val="212121"/>
          <w:lang w:eastAsia="en-GB"/>
          <w14:ligatures w14:val="none"/>
        </w:rPr>
        <w:t xml:space="preserve">Making Cumbrian providers </w:t>
      </w:r>
      <w:r w:rsidR="00BD7C56">
        <w:rPr>
          <w:rFonts w:eastAsia="Times New Roman"/>
          <w:color w:val="212121"/>
          <w:lang w:eastAsia="en-GB"/>
          <w14:ligatures w14:val="none"/>
        </w:rPr>
        <w:t>a central part of the supply chain for a fleet of new SMRs</w:t>
      </w:r>
      <w:r w:rsidR="00376D26">
        <w:rPr>
          <w:rFonts w:eastAsia="Times New Roman"/>
          <w:color w:val="212121"/>
          <w:lang w:eastAsia="en-GB"/>
          <w14:ligatures w14:val="none"/>
        </w:rPr>
        <w:t>, playing the leading role in d</w:t>
      </w:r>
      <w:r w:rsidR="00F60D2E" w:rsidRPr="008647A5">
        <w:rPr>
          <w:rFonts w:eastAsia="Times New Roman"/>
          <w:color w:val="212121"/>
          <w:lang w:eastAsia="en-GB"/>
          <w14:ligatures w14:val="none"/>
        </w:rPr>
        <w:t xml:space="preserve">eveloping the skills the UK requires for new nuclear developments. The same may apply to other aspects of clean energy, where the experience and expertise of Cumbrian providers – long used to serving mainly local employers – can be </w:t>
      </w:r>
      <w:r w:rsidR="008647A5" w:rsidRPr="008647A5">
        <w:rPr>
          <w:rFonts w:eastAsia="Times New Roman"/>
          <w:color w:val="212121"/>
          <w:lang w:eastAsia="en-GB"/>
          <w14:ligatures w14:val="none"/>
        </w:rPr>
        <w:t>developed</w:t>
      </w:r>
      <w:r w:rsidR="00376D26">
        <w:rPr>
          <w:rFonts w:eastAsia="Times New Roman"/>
          <w:color w:val="212121"/>
          <w:lang w:eastAsia="en-GB"/>
          <w14:ligatures w14:val="none"/>
        </w:rPr>
        <w:t xml:space="preserve"> in partnership with other employers, particularly in locations where clean energy developments are set to come on stream earlier and at greater scale than in Cumbria. </w:t>
      </w:r>
    </w:p>
    <w:p w14:paraId="41243C30" w14:textId="13F60996" w:rsidR="0074569A" w:rsidRDefault="0074569A" w:rsidP="006D2276">
      <w:pPr>
        <w:spacing w:after="0"/>
        <w:rPr>
          <w:rFonts w:eastAsia="Times New Roman"/>
          <w:color w:val="212121"/>
          <w:lang w:eastAsia="en-GB"/>
          <w14:ligatures w14:val="none"/>
        </w:rPr>
      </w:pPr>
      <w:r>
        <w:rPr>
          <w:rFonts w:eastAsia="Times New Roman"/>
          <w:color w:val="212121"/>
          <w:lang w:eastAsia="en-GB"/>
          <w14:ligatures w14:val="none"/>
        </w:rPr>
        <w:t xml:space="preserve">As part of the above, </w:t>
      </w:r>
      <w:r w:rsidR="006D2276" w:rsidRPr="006D2276">
        <w:rPr>
          <w:rFonts w:eastAsia="Times New Roman"/>
          <w:b/>
          <w:bCs/>
          <w:color w:val="212121"/>
          <w:lang w:eastAsia="en-GB"/>
          <w14:ligatures w14:val="none"/>
        </w:rPr>
        <w:t>a collective response to clean energy from education and training providers would be highly desirable</w:t>
      </w:r>
      <w:r w:rsidR="006D2276">
        <w:rPr>
          <w:rFonts w:eastAsia="Times New Roman"/>
          <w:color w:val="212121"/>
          <w:lang w:eastAsia="en-GB"/>
          <w14:ligatures w14:val="none"/>
        </w:rPr>
        <w:t>. C</w:t>
      </w:r>
      <w:r>
        <w:t xml:space="preserve">lean energy will introduce new employers and new technologies to the county, which may </w:t>
      </w:r>
      <w:r w:rsidRPr="006D2276">
        <w:t>require a review and re-articulation of a visible curriculum offer to employers</w:t>
      </w:r>
      <w:r w:rsidRPr="009D7A5A">
        <w:t xml:space="preserve"> in Cumbria that spans all the major clean energy technologies now becoming available. </w:t>
      </w:r>
      <w:r w:rsidR="00B24A0A">
        <w:t xml:space="preserve">This could operate under the banner of a </w:t>
      </w:r>
      <w:r w:rsidRPr="009D7A5A">
        <w:rPr>
          <w:rFonts w:eastAsia="Times New Roman"/>
          <w:color w:val="212121"/>
          <w:lang w:eastAsia="en-GB"/>
          <w14:ligatures w14:val="none"/>
        </w:rPr>
        <w:t xml:space="preserve">Cumbria Clean Energy Academy – a mechanism to pull together all of the curriculum and </w:t>
      </w:r>
      <w:r w:rsidR="00DE70A3">
        <w:rPr>
          <w:rFonts w:eastAsia="Times New Roman"/>
          <w:color w:val="212121"/>
          <w:lang w:eastAsia="en-GB"/>
          <w14:ligatures w14:val="none"/>
        </w:rPr>
        <w:t>qualifications</w:t>
      </w:r>
      <w:r w:rsidRPr="009D7A5A">
        <w:rPr>
          <w:rFonts w:eastAsia="Times New Roman"/>
          <w:color w:val="212121"/>
          <w:lang w:eastAsia="en-GB"/>
          <w14:ligatures w14:val="none"/>
        </w:rPr>
        <w:t xml:space="preserve"> into a branded offer for employers, focused initially on development and installation activities, latterly on operational requirements.</w:t>
      </w:r>
      <w:r>
        <w:rPr>
          <w:rFonts w:eastAsia="Times New Roman"/>
          <w:color w:val="212121"/>
          <w:lang w:eastAsia="en-GB"/>
          <w14:ligatures w14:val="none"/>
        </w:rPr>
        <w:t xml:space="preserve"> This could be undertaken with the sponsorship of major employers that are planning to invest in Cumbria, to support curriculum development and delivery. </w:t>
      </w:r>
    </w:p>
    <w:p w14:paraId="083283FB" w14:textId="77777777" w:rsidR="00A912E0" w:rsidRDefault="00A912E0" w:rsidP="00A912E0">
      <w:pPr>
        <w:spacing w:after="0"/>
        <w:rPr>
          <w:rFonts w:eastAsia="Times New Roman"/>
          <w:b/>
          <w:bCs/>
          <w:color w:val="212121"/>
          <w:lang w:eastAsia="en-GB"/>
          <w14:ligatures w14:val="none"/>
        </w:rPr>
      </w:pPr>
    </w:p>
    <w:p w14:paraId="23095A6A" w14:textId="442CDD4C" w:rsidR="001702A3" w:rsidRPr="000B0656" w:rsidRDefault="00376D26" w:rsidP="00A912E0">
      <w:pPr>
        <w:spacing w:after="0"/>
        <w:rPr>
          <w:rFonts w:eastAsia="Times New Roman"/>
          <w:b/>
          <w:bCs/>
          <w:color w:val="212121"/>
          <w:lang w:eastAsia="en-GB"/>
          <w14:ligatures w14:val="none"/>
        </w:rPr>
      </w:pPr>
      <w:r w:rsidRPr="00021EF5">
        <w:rPr>
          <w:rFonts w:eastAsia="Times New Roman"/>
          <w:b/>
          <w:bCs/>
          <w:color w:val="212121"/>
          <w:lang w:eastAsia="en-GB"/>
          <w14:ligatures w14:val="none"/>
        </w:rPr>
        <w:t>We think that local young people taking the academic post-16 pathway currently lack a via HE course offer in</w:t>
      </w:r>
      <w:r w:rsidR="00021EF5" w:rsidRPr="00021EF5">
        <w:rPr>
          <w:rFonts w:eastAsia="Times New Roman"/>
          <w:b/>
          <w:bCs/>
          <w:color w:val="212121"/>
          <w:lang w:eastAsia="en-GB"/>
          <w14:ligatures w14:val="none"/>
        </w:rPr>
        <w:t xml:space="preserve"> the core engineering degree subjects that relate to clean energy.</w:t>
      </w:r>
      <w:r w:rsidR="00021EF5">
        <w:rPr>
          <w:rFonts w:eastAsia="Times New Roman"/>
          <w:color w:val="212121"/>
          <w:lang w:eastAsia="en-GB"/>
          <w14:ligatures w14:val="none"/>
        </w:rPr>
        <w:t xml:space="preserve"> </w:t>
      </w:r>
      <w:r>
        <w:rPr>
          <w:rFonts w:eastAsia="Times New Roman"/>
          <w:color w:val="212121"/>
          <w:lang w:eastAsia="en-GB"/>
          <w14:ligatures w14:val="none"/>
        </w:rPr>
        <w:t xml:space="preserve">Local colleges and Gen2 already have </w:t>
      </w:r>
      <w:r w:rsidR="00394A15">
        <w:rPr>
          <w:rFonts w:eastAsia="Times New Roman"/>
          <w:color w:val="212121"/>
          <w:lang w:eastAsia="en-GB"/>
          <w14:ligatures w14:val="none"/>
        </w:rPr>
        <w:t xml:space="preserve">600 higher education students (as of 2019-20) studying courses at level 4 </w:t>
      </w:r>
      <w:r>
        <w:rPr>
          <w:rFonts w:eastAsia="Times New Roman"/>
          <w:color w:val="212121"/>
          <w:lang w:eastAsia="en-GB"/>
          <w14:ligatures w14:val="none"/>
        </w:rPr>
        <w:t>above in engineering and manufacturing technologies. However feedback indicates that much of that provision is employer sponsored, rather than the more conventional learner-responsive HE model</w:t>
      </w:r>
      <w:r w:rsidR="009F00B2">
        <w:rPr>
          <w:rFonts w:eastAsia="Times New Roman"/>
          <w:color w:val="212121"/>
          <w:lang w:eastAsia="en-GB"/>
          <w14:ligatures w14:val="none"/>
        </w:rPr>
        <w:t>. T</w:t>
      </w:r>
      <w:r w:rsidR="00394A15">
        <w:rPr>
          <w:rFonts w:eastAsia="Times New Roman"/>
          <w:color w:val="212121"/>
          <w:lang w:eastAsia="en-GB"/>
          <w14:ligatures w14:val="none"/>
        </w:rPr>
        <w:t>he University of Cumbria</w:t>
      </w:r>
      <w:r w:rsidR="009F00B2">
        <w:rPr>
          <w:rFonts w:eastAsia="Times New Roman"/>
          <w:color w:val="212121"/>
          <w:lang w:eastAsia="en-GB"/>
          <w14:ligatures w14:val="none"/>
        </w:rPr>
        <w:t xml:space="preserve"> does not </w:t>
      </w:r>
      <w:r w:rsidR="00A86BA7">
        <w:rPr>
          <w:rFonts w:eastAsia="Times New Roman"/>
          <w:color w:val="212121"/>
          <w:lang w:eastAsia="en-GB"/>
          <w14:ligatures w14:val="none"/>
        </w:rPr>
        <w:t>deliver higher education engineering programmes</w:t>
      </w:r>
      <w:r w:rsidR="009F00B2">
        <w:rPr>
          <w:rFonts w:eastAsia="Times New Roman"/>
          <w:color w:val="212121"/>
          <w:lang w:eastAsia="en-GB"/>
          <w14:ligatures w14:val="none"/>
        </w:rPr>
        <w:t xml:space="preserve"> but the </w:t>
      </w:r>
      <w:r w:rsidR="00F23404">
        <w:rPr>
          <w:rFonts w:eastAsia="Times New Roman"/>
          <w:color w:val="212121"/>
          <w:lang w:eastAsia="en-GB"/>
          <w14:ligatures w14:val="none"/>
        </w:rPr>
        <w:t xml:space="preserve">creation of a new </w:t>
      </w:r>
      <w:r w:rsidR="0021793B">
        <w:rPr>
          <w:kern w:val="0"/>
          <w14:ligatures w14:val="none"/>
        </w:rPr>
        <w:t xml:space="preserve">Institute of Engineering, Computing and Advanced Manufacturing at the University, </w:t>
      </w:r>
      <w:r w:rsidR="009F00B2">
        <w:rPr>
          <w:kern w:val="0"/>
          <w14:ligatures w14:val="none"/>
        </w:rPr>
        <w:t>part of</w:t>
      </w:r>
      <w:r w:rsidR="0021793B">
        <w:rPr>
          <w:kern w:val="0"/>
          <w14:ligatures w14:val="none"/>
        </w:rPr>
        <w:t xml:space="preserve"> a new campus in Barrow, offers an opportunity to change that. </w:t>
      </w:r>
      <w:r w:rsidR="0036299E">
        <w:rPr>
          <w:kern w:val="0"/>
          <w14:ligatures w14:val="none"/>
        </w:rPr>
        <w:t>Given the high number of</w:t>
      </w:r>
      <w:r w:rsidR="00E03C7A">
        <w:rPr>
          <w:kern w:val="0"/>
          <w14:ligatures w14:val="none"/>
        </w:rPr>
        <w:t xml:space="preserve"> level 6 occupations </w:t>
      </w:r>
      <w:r w:rsidR="00B83823">
        <w:rPr>
          <w:kern w:val="0"/>
          <w14:ligatures w14:val="none"/>
        </w:rPr>
        <w:t xml:space="preserve">already in demand from the energy sector in Cumbria and the likelihood that this will continue as green energy grows in the county, there appears to be </w:t>
      </w:r>
      <w:r w:rsidR="00B83823" w:rsidRPr="00C17D65">
        <w:rPr>
          <w:b/>
          <w:bCs/>
          <w:kern w:val="0"/>
          <w14:ligatures w14:val="none"/>
        </w:rPr>
        <w:t xml:space="preserve">an opportunity for the university to </w:t>
      </w:r>
      <w:r w:rsidR="005B4D6C" w:rsidRPr="00C17D65">
        <w:rPr>
          <w:b/>
          <w:bCs/>
          <w:kern w:val="0"/>
          <w14:ligatures w14:val="none"/>
        </w:rPr>
        <w:t>develop a local offer for employers and learners focused on the major engineering disciplines: electrical, mechanical, construction</w:t>
      </w:r>
      <w:r w:rsidR="005B4D6C">
        <w:rPr>
          <w:kern w:val="0"/>
          <w14:ligatures w14:val="none"/>
        </w:rPr>
        <w:t xml:space="preserve">. </w:t>
      </w:r>
    </w:p>
    <w:p w14:paraId="05B1B7FF" w14:textId="77777777" w:rsidR="00A912E0" w:rsidRDefault="00A912E0" w:rsidP="004A0B31">
      <w:pPr>
        <w:spacing w:after="0"/>
        <w:rPr>
          <w:rFonts w:eastAsia="Times New Roman"/>
          <w:b/>
          <w:bCs/>
          <w:color w:val="212121"/>
          <w:lang w:eastAsia="en-GB"/>
          <w14:ligatures w14:val="none"/>
        </w:rPr>
      </w:pPr>
    </w:p>
    <w:p w14:paraId="1A9856D8" w14:textId="5B19BE98" w:rsidR="00FD2007" w:rsidRDefault="004931E5" w:rsidP="004A0B31">
      <w:pPr>
        <w:spacing w:after="0"/>
        <w:rPr>
          <w:rFonts w:eastAsia="Times New Roman"/>
          <w:color w:val="212121"/>
          <w:lang w:eastAsia="en-GB"/>
          <w14:ligatures w14:val="none"/>
        </w:rPr>
      </w:pPr>
      <w:r w:rsidRPr="004931E5">
        <w:rPr>
          <w:rFonts w:eastAsia="Times New Roman"/>
          <w:b/>
          <w:bCs/>
          <w:color w:val="212121"/>
          <w:lang w:eastAsia="en-GB"/>
          <w14:ligatures w14:val="none"/>
        </w:rPr>
        <w:t>Public planning and regulatory services</w:t>
      </w:r>
      <w:r w:rsidR="004A0B31">
        <w:rPr>
          <w:rFonts w:eastAsia="Times New Roman"/>
          <w:b/>
          <w:bCs/>
          <w:color w:val="212121"/>
          <w:lang w:eastAsia="en-GB"/>
          <w14:ligatures w14:val="none"/>
        </w:rPr>
        <w:t xml:space="preserve">: </w:t>
      </w:r>
      <w:r>
        <w:rPr>
          <w:rFonts w:eastAsia="Times New Roman"/>
          <w:color w:val="212121"/>
          <w:lang w:eastAsia="en-GB"/>
          <w14:ligatures w14:val="none"/>
        </w:rPr>
        <w:t xml:space="preserve">For clean energy to thrive in Cumbria, it needs a </w:t>
      </w:r>
      <w:r w:rsidR="00FD3ADA">
        <w:rPr>
          <w:rFonts w:eastAsia="Times New Roman"/>
          <w:color w:val="212121"/>
          <w:lang w:eastAsia="en-GB"/>
          <w14:ligatures w14:val="none"/>
        </w:rPr>
        <w:t xml:space="preserve">supportive operating environment where public sector bodies have a key leadership and enabling role to play. </w:t>
      </w:r>
      <w:r w:rsidR="00B8240E">
        <w:rPr>
          <w:rFonts w:eastAsia="Times New Roman"/>
          <w:color w:val="212121"/>
          <w:lang w:eastAsia="en-GB"/>
          <w14:ligatures w14:val="none"/>
        </w:rPr>
        <w:t xml:space="preserve">One area for focus should be the capacity of the new unitary authorities to </w:t>
      </w:r>
      <w:r w:rsidR="000151A3">
        <w:rPr>
          <w:rFonts w:eastAsia="Times New Roman"/>
          <w:color w:val="212121"/>
          <w:lang w:eastAsia="en-GB"/>
          <w14:ligatures w14:val="none"/>
        </w:rPr>
        <w:t xml:space="preserve">understand and support clean energy growth in their area  via services such as planning, environmental health and economic development. </w:t>
      </w:r>
      <w:r w:rsidR="00670F31">
        <w:rPr>
          <w:rFonts w:eastAsia="Times New Roman"/>
          <w:color w:val="212121"/>
          <w:lang w:eastAsia="en-GB"/>
          <w14:ligatures w14:val="none"/>
        </w:rPr>
        <w:t xml:space="preserve">Local authorities have an ageing workforce where vacancies can go unfilled due to </w:t>
      </w:r>
      <w:r w:rsidR="00ED1D93">
        <w:rPr>
          <w:rFonts w:eastAsia="Times New Roman"/>
          <w:color w:val="212121"/>
          <w:lang w:eastAsia="en-GB"/>
          <w14:ligatures w14:val="none"/>
        </w:rPr>
        <w:t xml:space="preserve">budgetary constraints. It would be prudent for </w:t>
      </w:r>
      <w:r w:rsidR="00ED1D93" w:rsidRPr="004A0B31">
        <w:rPr>
          <w:rFonts w:eastAsia="Times New Roman"/>
          <w:b/>
          <w:bCs/>
          <w:color w:val="212121"/>
          <w:lang w:eastAsia="en-GB"/>
          <w14:ligatures w14:val="none"/>
        </w:rPr>
        <w:t>mechanisms to be put in place that can enable knowledge transfer about the clean energy to public sector organisations</w:t>
      </w:r>
      <w:r w:rsidR="00610271">
        <w:rPr>
          <w:rFonts w:eastAsia="Times New Roman"/>
          <w:color w:val="212121"/>
          <w:lang w:eastAsia="en-GB"/>
          <w14:ligatures w14:val="none"/>
        </w:rPr>
        <w:t>, so that they are better able to carry out their</w:t>
      </w:r>
      <w:r w:rsidR="001702A3">
        <w:rPr>
          <w:rFonts w:eastAsia="Times New Roman"/>
          <w:color w:val="212121"/>
          <w:lang w:eastAsia="en-GB"/>
          <w14:ligatures w14:val="none"/>
        </w:rPr>
        <w:t xml:space="preserve"> economic and civic leadership</w:t>
      </w:r>
      <w:r w:rsidR="00610271">
        <w:rPr>
          <w:rFonts w:eastAsia="Times New Roman"/>
          <w:color w:val="212121"/>
          <w:lang w:eastAsia="en-GB"/>
          <w14:ligatures w14:val="none"/>
        </w:rPr>
        <w:t xml:space="preserve"> role. </w:t>
      </w:r>
    </w:p>
    <w:p w14:paraId="11B3DE26" w14:textId="77777777" w:rsidR="00BF7481" w:rsidRDefault="00BF7481" w:rsidP="004A5776">
      <w:pPr>
        <w:pStyle w:val="Heading2"/>
      </w:pPr>
    </w:p>
    <w:p w14:paraId="02072169" w14:textId="56C36B82" w:rsidR="00835422" w:rsidRDefault="00835422" w:rsidP="004A5776">
      <w:pPr>
        <w:pStyle w:val="Heading2"/>
      </w:pPr>
      <w:bookmarkStart w:id="21" w:name="_Toc135938270"/>
      <w:r>
        <w:t>6.</w:t>
      </w:r>
      <w:r w:rsidR="00610271">
        <w:t>3</w:t>
      </w:r>
      <w:r>
        <w:t xml:space="preserve"> </w:t>
      </w:r>
      <w:r w:rsidR="004A5776">
        <w:t xml:space="preserve">Employer </w:t>
      </w:r>
      <w:r w:rsidR="00585571">
        <w:t xml:space="preserve">occupational </w:t>
      </w:r>
      <w:r w:rsidR="004A5776">
        <w:t>skills needs</w:t>
      </w:r>
      <w:bookmarkEnd w:id="21"/>
    </w:p>
    <w:p w14:paraId="15244A9C" w14:textId="2505AA78" w:rsidR="00835422" w:rsidRDefault="00610271" w:rsidP="00E832BC">
      <w:r>
        <w:t xml:space="preserve">Employer </w:t>
      </w:r>
      <w:r w:rsidR="00ED2D09">
        <w:t>occupation</w:t>
      </w:r>
      <w:r w:rsidR="00981FF5">
        <w:rPr>
          <w:rStyle w:val="FootnoteReference"/>
        </w:rPr>
        <w:footnoteReference w:id="25"/>
      </w:r>
      <w:r w:rsidR="00ED2D09">
        <w:t xml:space="preserve"> </w:t>
      </w:r>
      <w:r>
        <w:t xml:space="preserve">skills needs </w:t>
      </w:r>
      <w:r w:rsidR="00ED2D09">
        <w:t>expected to arise</w:t>
      </w:r>
      <w:r>
        <w:t xml:space="preserve"> from clean energy are summarised below</w:t>
      </w:r>
      <w:r w:rsidR="00954599">
        <w:t xml:space="preserve">. All </w:t>
      </w:r>
      <w:r w:rsidR="0019650D">
        <w:t>skills needs in this table are described as occupations using the taxonomy established within the Institute for Apprenticeship and Technical Education’s Occupational Maps, which provides clear links to apprenticeship, FE and T Level courses</w:t>
      </w:r>
      <w:r>
        <w:t>:</w:t>
      </w:r>
    </w:p>
    <w:tbl>
      <w:tblPr>
        <w:tblStyle w:val="TableGrid"/>
        <w:tblW w:w="0" w:type="auto"/>
        <w:tblLook w:val="04A0" w:firstRow="1" w:lastRow="0" w:firstColumn="1" w:lastColumn="0" w:noHBand="0" w:noVBand="1"/>
      </w:tblPr>
      <w:tblGrid>
        <w:gridCol w:w="2401"/>
        <w:gridCol w:w="2370"/>
        <w:gridCol w:w="1833"/>
        <w:gridCol w:w="2412"/>
      </w:tblGrid>
      <w:tr w:rsidR="001F7AF1" w:rsidRPr="00A7048A" w14:paraId="31D8AACB" w14:textId="77777777" w:rsidTr="001F7AF1">
        <w:tc>
          <w:tcPr>
            <w:tcW w:w="2401" w:type="dxa"/>
            <w:shd w:val="clear" w:color="auto" w:fill="D9D9D9" w:themeFill="background1" w:themeFillShade="D9"/>
          </w:tcPr>
          <w:p w14:paraId="2BA9C954" w14:textId="5E7CAF69" w:rsidR="001F7AF1" w:rsidRPr="00A7048A" w:rsidRDefault="001F7AF1" w:rsidP="00E832BC">
            <w:pPr>
              <w:rPr>
                <w:b/>
                <w:bCs/>
                <w:sz w:val="20"/>
                <w:szCs w:val="20"/>
              </w:rPr>
            </w:pPr>
            <w:r w:rsidRPr="00A7048A">
              <w:rPr>
                <w:b/>
                <w:bCs/>
                <w:sz w:val="20"/>
                <w:szCs w:val="20"/>
              </w:rPr>
              <w:t>Skills need</w:t>
            </w:r>
          </w:p>
        </w:tc>
        <w:tc>
          <w:tcPr>
            <w:tcW w:w="2370" w:type="dxa"/>
            <w:shd w:val="clear" w:color="auto" w:fill="D9D9D9" w:themeFill="background1" w:themeFillShade="D9"/>
          </w:tcPr>
          <w:p w14:paraId="2B9D7668" w14:textId="6CD86B32" w:rsidR="001F7AF1" w:rsidRPr="00A7048A" w:rsidRDefault="001F7AF1" w:rsidP="00E832BC">
            <w:pPr>
              <w:rPr>
                <w:b/>
                <w:bCs/>
                <w:sz w:val="20"/>
                <w:szCs w:val="20"/>
              </w:rPr>
            </w:pPr>
            <w:r w:rsidRPr="00A7048A">
              <w:rPr>
                <w:b/>
                <w:bCs/>
                <w:sz w:val="20"/>
                <w:szCs w:val="20"/>
              </w:rPr>
              <w:t>Actionable priority</w:t>
            </w:r>
          </w:p>
        </w:tc>
        <w:tc>
          <w:tcPr>
            <w:tcW w:w="1833" w:type="dxa"/>
            <w:shd w:val="clear" w:color="auto" w:fill="D9D9D9" w:themeFill="background1" w:themeFillShade="D9"/>
          </w:tcPr>
          <w:p w14:paraId="03922960" w14:textId="3D8C627B" w:rsidR="001F7AF1" w:rsidRPr="00A7048A" w:rsidRDefault="001F7AF1" w:rsidP="00E832BC">
            <w:pPr>
              <w:rPr>
                <w:b/>
                <w:bCs/>
                <w:sz w:val="20"/>
                <w:szCs w:val="20"/>
              </w:rPr>
            </w:pPr>
            <w:r>
              <w:rPr>
                <w:b/>
                <w:bCs/>
                <w:sz w:val="20"/>
                <w:szCs w:val="20"/>
              </w:rPr>
              <w:t>Resource</w:t>
            </w:r>
          </w:p>
        </w:tc>
        <w:tc>
          <w:tcPr>
            <w:tcW w:w="2412" w:type="dxa"/>
            <w:shd w:val="clear" w:color="auto" w:fill="D9D9D9" w:themeFill="background1" w:themeFillShade="D9"/>
          </w:tcPr>
          <w:p w14:paraId="52D433EB" w14:textId="03B9A240" w:rsidR="001F7AF1" w:rsidRPr="00A7048A" w:rsidRDefault="001F7AF1" w:rsidP="00E832BC">
            <w:pPr>
              <w:rPr>
                <w:b/>
                <w:bCs/>
                <w:sz w:val="20"/>
                <w:szCs w:val="20"/>
              </w:rPr>
            </w:pPr>
            <w:r w:rsidRPr="00A7048A">
              <w:rPr>
                <w:b/>
                <w:bCs/>
                <w:sz w:val="20"/>
                <w:szCs w:val="20"/>
              </w:rPr>
              <w:t>Is provision already available locally?</w:t>
            </w:r>
          </w:p>
        </w:tc>
      </w:tr>
      <w:tr w:rsidR="001F7AF1" w:rsidRPr="00A7048A" w14:paraId="14F6F04C" w14:textId="77777777" w:rsidTr="00F47A51">
        <w:tc>
          <w:tcPr>
            <w:tcW w:w="9016" w:type="dxa"/>
            <w:gridSpan w:val="4"/>
            <w:shd w:val="clear" w:color="auto" w:fill="9CC2E5" w:themeFill="accent5" w:themeFillTint="99"/>
          </w:tcPr>
          <w:p w14:paraId="34C216F1" w14:textId="5E82AFCE" w:rsidR="001F7AF1" w:rsidRPr="00A7048A" w:rsidRDefault="001F7AF1" w:rsidP="00E832BC">
            <w:pPr>
              <w:rPr>
                <w:b/>
                <w:bCs/>
                <w:sz w:val="20"/>
                <w:szCs w:val="20"/>
              </w:rPr>
            </w:pPr>
            <w:r w:rsidRPr="00A7048A">
              <w:rPr>
                <w:b/>
                <w:bCs/>
                <w:sz w:val="20"/>
                <w:szCs w:val="20"/>
              </w:rPr>
              <w:t>Construction and installation phase</w:t>
            </w:r>
          </w:p>
        </w:tc>
      </w:tr>
      <w:tr w:rsidR="001F7AF1" w:rsidRPr="00A7048A" w14:paraId="1674AC40" w14:textId="77777777" w:rsidTr="001F7AF1">
        <w:tc>
          <w:tcPr>
            <w:tcW w:w="2401" w:type="dxa"/>
          </w:tcPr>
          <w:p w14:paraId="606D57CB" w14:textId="5538DA55" w:rsidR="001F7AF1" w:rsidRPr="00B70BF1" w:rsidRDefault="001F7AF1" w:rsidP="00A7048A">
            <w:pPr>
              <w:rPr>
                <w:sz w:val="20"/>
                <w:szCs w:val="20"/>
              </w:rPr>
            </w:pPr>
            <w:r w:rsidRPr="00B70BF1">
              <w:rPr>
                <w:sz w:val="20"/>
                <w:szCs w:val="20"/>
              </w:rPr>
              <w:t>Civil engineers (L6)</w:t>
            </w:r>
          </w:p>
        </w:tc>
        <w:tc>
          <w:tcPr>
            <w:tcW w:w="2370" w:type="dxa"/>
          </w:tcPr>
          <w:p w14:paraId="5DCDEBD3" w14:textId="25392A8C" w:rsidR="001F7AF1" w:rsidRPr="00B70BF1" w:rsidRDefault="001F7AF1" w:rsidP="00E832BC">
            <w:pPr>
              <w:rPr>
                <w:sz w:val="20"/>
                <w:szCs w:val="20"/>
              </w:rPr>
            </w:pPr>
            <w:r w:rsidRPr="00B70BF1">
              <w:rPr>
                <w:sz w:val="20"/>
                <w:szCs w:val="20"/>
              </w:rPr>
              <w:t>Grow via full-time HE and apprenticeship</w:t>
            </w:r>
          </w:p>
        </w:tc>
        <w:tc>
          <w:tcPr>
            <w:tcW w:w="1833" w:type="dxa"/>
          </w:tcPr>
          <w:p w14:paraId="2D1A74DE" w14:textId="36E91C34" w:rsidR="001F7AF1" w:rsidRPr="00B70BF1" w:rsidRDefault="004B1F8F" w:rsidP="00E832BC">
            <w:pPr>
              <w:rPr>
                <w:sz w:val="20"/>
                <w:szCs w:val="20"/>
              </w:rPr>
            </w:pPr>
            <w:r>
              <w:rPr>
                <w:sz w:val="20"/>
                <w:szCs w:val="20"/>
              </w:rPr>
              <w:t>Lifelong Loan Entitlement, mainstream DfE funds</w:t>
            </w:r>
          </w:p>
        </w:tc>
        <w:tc>
          <w:tcPr>
            <w:tcW w:w="2412" w:type="dxa"/>
          </w:tcPr>
          <w:p w14:paraId="3FDCD8C4" w14:textId="130E77E6" w:rsidR="001F7AF1" w:rsidRPr="00B70BF1" w:rsidRDefault="001F7AF1" w:rsidP="00E832BC">
            <w:pPr>
              <w:rPr>
                <w:sz w:val="20"/>
                <w:szCs w:val="20"/>
              </w:rPr>
            </w:pPr>
            <w:r w:rsidRPr="00B70BF1">
              <w:rPr>
                <w:sz w:val="20"/>
                <w:szCs w:val="20"/>
              </w:rPr>
              <w:t>Yes – Lakes College</w:t>
            </w:r>
          </w:p>
        </w:tc>
      </w:tr>
      <w:tr w:rsidR="001F7AF1" w:rsidRPr="00A7048A" w14:paraId="6F7E6E0F" w14:textId="77777777" w:rsidTr="001F7AF1">
        <w:tc>
          <w:tcPr>
            <w:tcW w:w="2401" w:type="dxa"/>
          </w:tcPr>
          <w:p w14:paraId="1500CCF3" w14:textId="324A0696" w:rsidR="001F7AF1" w:rsidRPr="00B70BF1" w:rsidRDefault="001F7AF1" w:rsidP="00E832BC">
            <w:pPr>
              <w:rPr>
                <w:sz w:val="20"/>
                <w:szCs w:val="20"/>
              </w:rPr>
            </w:pPr>
            <w:r w:rsidRPr="00B70BF1">
              <w:rPr>
                <w:sz w:val="20"/>
                <w:szCs w:val="20"/>
              </w:rPr>
              <w:t>Civil engineering technician (L3)</w:t>
            </w:r>
          </w:p>
        </w:tc>
        <w:tc>
          <w:tcPr>
            <w:tcW w:w="2370" w:type="dxa"/>
          </w:tcPr>
          <w:p w14:paraId="5AC33482" w14:textId="38DDA5BB" w:rsidR="001F7AF1" w:rsidRPr="00B70BF1" w:rsidRDefault="001F7AF1" w:rsidP="00E832BC">
            <w:pPr>
              <w:rPr>
                <w:sz w:val="20"/>
                <w:szCs w:val="20"/>
              </w:rPr>
            </w:pPr>
            <w:r w:rsidRPr="00B70BF1">
              <w:rPr>
                <w:sz w:val="20"/>
                <w:szCs w:val="20"/>
              </w:rPr>
              <w:t>Grow via apprenticeship</w:t>
            </w:r>
            <w:r>
              <w:rPr>
                <w:sz w:val="20"/>
                <w:szCs w:val="20"/>
              </w:rPr>
              <w:t xml:space="preserve"> or T Level</w:t>
            </w:r>
          </w:p>
        </w:tc>
        <w:tc>
          <w:tcPr>
            <w:tcW w:w="1833" w:type="dxa"/>
          </w:tcPr>
          <w:p w14:paraId="37584629" w14:textId="52716878" w:rsidR="001F7AF1" w:rsidRPr="00B70BF1" w:rsidRDefault="004B1F8F" w:rsidP="00E832BC">
            <w:pPr>
              <w:rPr>
                <w:sz w:val="20"/>
                <w:szCs w:val="20"/>
              </w:rPr>
            </w:pPr>
            <w:r>
              <w:rPr>
                <w:sz w:val="20"/>
                <w:szCs w:val="20"/>
              </w:rPr>
              <w:t>Mainstream DfE funds</w:t>
            </w:r>
          </w:p>
        </w:tc>
        <w:tc>
          <w:tcPr>
            <w:tcW w:w="2412" w:type="dxa"/>
          </w:tcPr>
          <w:p w14:paraId="0DC23BD7" w14:textId="5D0581FA" w:rsidR="001F7AF1" w:rsidRPr="00B70BF1" w:rsidRDefault="001F7AF1" w:rsidP="00E832BC">
            <w:pPr>
              <w:rPr>
                <w:sz w:val="20"/>
                <w:szCs w:val="20"/>
              </w:rPr>
            </w:pPr>
            <w:r w:rsidRPr="00B70BF1">
              <w:rPr>
                <w:sz w:val="20"/>
                <w:szCs w:val="20"/>
              </w:rPr>
              <w:t>Yes – Gen2</w:t>
            </w:r>
          </w:p>
        </w:tc>
      </w:tr>
      <w:tr w:rsidR="001F7AF1" w:rsidRPr="00A7048A" w14:paraId="29F5C510" w14:textId="77777777" w:rsidTr="001F7AF1">
        <w:tc>
          <w:tcPr>
            <w:tcW w:w="2401" w:type="dxa"/>
          </w:tcPr>
          <w:p w14:paraId="6051362D" w14:textId="6E8F706B" w:rsidR="001F7AF1" w:rsidRPr="00B70BF1" w:rsidRDefault="001F7AF1" w:rsidP="00E832BC">
            <w:pPr>
              <w:rPr>
                <w:sz w:val="20"/>
                <w:szCs w:val="20"/>
              </w:rPr>
            </w:pPr>
            <w:r>
              <w:rPr>
                <w:sz w:val="20"/>
                <w:szCs w:val="20"/>
              </w:rPr>
              <w:t>Construction site supervisors (L4)</w:t>
            </w:r>
          </w:p>
        </w:tc>
        <w:tc>
          <w:tcPr>
            <w:tcW w:w="2370" w:type="dxa"/>
          </w:tcPr>
          <w:p w14:paraId="26983896" w14:textId="298833E9" w:rsidR="001F7AF1" w:rsidRPr="00B70BF1" w:rsidRDefault="001F7AF1" w:rsidP="00E832BC">
            <w:pPr>
              <w:rPr>
                <w:sz w:val="20"/>
                <w:szCs w:val="20"/>
              </w:rPr>
            </w:pPr>
            <w:r>
              <w:rPr>
                <w:sz w:val="20"/>
                <w:szCs w:val="20"/>
              </w:rPr>
              <w:t>Apprenticeship upgrading from trade roles</w:t>
            </w:r>
            <w:r w:rsidR="004B1F8F">
              <w:rPr>
                <w:sz w:val="20"/>
                <w:szCs w:val="20"/>
              </w:rPr>
              <w:t>, commercial short courses</w:t>
            </w:r>
          </w:p>
        </w:tc>
        <w:tc>
          <w:tcPr>
            <w:tcW w:w="1833" w:type="dxa"/>
          </w:tcPr>
          <w:p w14:paraId="22C3AE56" w14:textId="676C868D" w:rsidR="001F7AF1" w:rsidRDefault="00CF571E" w:rsidP="00E832BC">
            <w:pPr>
              <w:rPr>
                <w:sz w:val="20"/>
                <w:szCs w:val="20"/>
              </w:rPr>
            </w:pPr>
            <w:r>
              <w:rPr>
                <w:sz w:val="20"/>
                <w:szCs w:val="20"/>
              </w:rPr>
              <w:t>Employers, LSIF</w:t>
            </w:r>
          </w:p>
        </w:tc>
        <w:tc>
          <w:tcPr>
            <w:tcW w:w="2412" w:type="dxa"/>
          </w:tcPr>
          <w:p w14:paraId="38BF9CF9" w14:textId="13579A35" w:rsidR="001F7AF1" w:rsidRPr="00B70BF1" w:rsidRDefault="001F7AF1" w:rsidP="00E832BC">
            <w:pPr>
              <w:rPr>
                <w:sz w:val="20"/>
                <w:szCs w:val="20"/>
              </w:rPr>
            </w:pPr>
            <w:r>
              <w:rPr>
                <w:sz w:val="20"/>
                <w:szCs w:val="20"/>
              </w:rPr>
              <w:t>No</w:t>
            </w:r>
          </w:p>
        </w:tc>
      </w:tr>
      <w:tr w:rsidR="001F7AF1" w:rsidRPr="00A7048A" w14:paraId="663F57E0" w14:textId="77777777" w:rsidTr="001F7AF1">
        <w:tc>
          <w:tcPr>
            <w:tcW w:w="2401" w:type="dxa"/>
          </w:tcPr>
          <w:p w14:paraId="5495D106" w14:textId="4D3508B7" w:rsidR="001F7AF1" w:rsidRPr="00B70BF1" w:rsidRDefault="001F7AF1" w:rsidP="00E832BC">
            <w:pPr>
              <w:rPr>
                <w:sz w:val="20"/>
                <w:szCs w:val="20"/>
              </w:rPr>
            </w:pPr>
            <w:r>
              <w:rPr>
                <w:sz w:val="20"/>
                <w:szCs w:val="20"/>
              </w:rPr>
              <w:t>Construction site managers (L6)</w:t>
            </w:r>
          </w:p>
        </w:tc>
        <w:tc>
          <w:tcPr>
            <w:tcW w:w="2370" w:type="dxa"/>
          </w:tcPr>
          <w:p w14:paraId="1280C7B2" w14:textId="10C9FB99" w:rsidR="001F7AF1" w:rsidRPr="00B70BF1" w:rsidRDefault="001F7AF1" w:rsidP="00E832BC">
            <w:pPr>
              <w:rPr>
                <w:sz w:val="20"/>
                <w:szCs w:val="20"/>
              </w:rPr>
            </w:pPr>
            <w:r>
              <w:rPr>
                <w:sz w:val="20"/>
                <w:szCs w:val="20"/>
              </w:rPr>
              <w:t>Apprenticeship upgrading from trade roles</w:t>
            </w:r>
          </w:p>
        </w:tc>
        <w:tc>
          <w:tcPr>
            <w:tcW w:w="1833" w:type="dxa"/>
          </w:tcPr>
          <w:p w14:paraId="18709B9A" w14:textId="233816D5" w:rsidR="001F7AF1" w:rsidRDefault="00D435BD" w:rsidP="00E832BC">
            <w:pPr>
              <w:rPr>
                <w:sz w:val="20"/>
                <w:szCs w:val="20"/>
              </w:rPr>
            </w:pPr>
            <w:r>
              <w:rPr>
                <w:sz w:val="20"/>
                <w:szCs w:val="20"/>
              </w:rPr>
              <w:t>Employers/LSIF</w:t>
            </w:r>
          </w:p>
        </w:tc>
        <w:tc>
          <w:tcPr>
            <w:tcW w:w="2412" w:type="dxa"/>
          </w:tcPr>
          <w:p w14:paraId="7179BC72" w14:textId="60C8F51F" w:rsidR="001F7AF1" w:rsidRPr="00B70BF1" w:rsidRDefault="001F7AF1" w:rsidP="00E832BC">
            <w:pPr>
              <w:rPr>
                <w:sz w:val="20"/>
                <w:szCs w:val="20"/>
              </w:rPr>
            </w:pPr>
            <w:r>
              <w:rPr>
                <w:sz w:val="20"/>
                <w:szCs w:val="20"/>
              </w:rPr>
              <w:t>No</w:t>
            </w:r>
          </w:p>
        </w:tc>
      </w:tr>
      <w:tr w:rsidR="001F7AF1" w:rsidRPr="00A7048A" w14:paraId="12B884ED" w14:textId="77777777" w:rsidTr="001F7AF1">
        <w:tc>
          <w:tcPr>
            <w:tcW w:w="2401" w:type="dxa"/>
          </w:tcPr>
          <w:p w14:paraId="271B0CF6" w14:textId="105B727E" w:rsidR="001F7AF1" w:rsidRPr="00B70BF1" w:rsidRDefault="001F7AF1" w:rsidP="00E832BC">
            <w:pPr>
              <w:rPr>
                <w:sz w:val="20"/>
                <w:szCs w:val="20"/>
              </w:rPr>
            </w:pPr>
            <w:r>
              <w:rPr>
                <w:sz w:val="20"/>
                <w:szCs w:val="20"/>
              </w:rPr>
              <w:t>Quantity surveyors (L6)</w:t>
            </w:r>
          </w:p>
        </w:tc>
        <w:tc>
          <w:tcPr>
            <w:tcW w:w="2370" w:type="dxa"/>
          </w:tcPr>
          <w:p w14:paraId="53CCF203" w14:textId="386FE4BD" w:rsidR="001F7AF1" w:rsidRPr="00B70BF1" w:rsidRDefault="001F7AF1" w:rsidP="00E832BC">
            <w:pPr>
              <w:rPr>
                <w:sz w:val="20"/>
                <w:szCs w:val="20"/>
              </w:rPr>
            </w:pPr>
            <w:r>
              <w:rPr>
                <w:sz w:val="20"/>
                <w:szCs w:val="20"/>
              </w:rPr>
              <w:t>Grow via full time HE or apprenticeship</w:t>
            </w:r>
          </w:p>
        </w:tc>
        <w:tc>
          <w:tcPr>
            <w:tcW w:w="1833" w:type="dxa"/>
          </w:tcPr>
          <w:p w14:paraId="588C1A58" w14:textId="14445C42" w:rsidR="001F7AF1" w:rsidRDefault="00D435BD" w:rsidP="00E832BC">
            <w:pPr>
              <w:rPr>
                <w:sz w:val="20"/>
                <w:szCs w:val="20"/>
              </w:rPr>
            </w:pPr>
            <w:r>
              <w:rPr>
                <w:sz w:val="20"/>
                <w:szCs w:val="20"/>
              </w:rPr>
              <w:t>Employers/</w:t>
            </w:r>
            <w:r w:rsidR="004B1F8F">
              <w:rPr>
                <w:sz w:val="20"/>
                <w:szCs w:val="20"/>
              </w:rPr>
              <w:t>Lifelong Loan Entitlement</w:t>
            </w:r>
          </w:p>
        </w:tc>
        <w:tc>
          <w:tcPr>
            <w:tcW w:w="2412" w:type="dxa"/>
          </w:tcPr>
          <w:p w14:paraId="786D4337" w14:textId="3C490686" w:rsidR="001F7AF1" w:rsidRPr="00B70BF1" w:rsidRDefault="001F7AF1" w:rsidP="00E832BC">
            <w:pPr>
              <w:rPr>
                <w:sz w:val="20"/>
                <w:szCs w:val="20"/>
              </w:rPr>
            </w:pPr>
            <w:r>
              <w:rPr>
                <w:sz w:val="20"/>
                <w:szCs w:val="20"/>
              </w:rPr>
              <w:t>No</w:t>
            </w:r>
          </w:p>
        </w:tc>
      </w:tr>
      <w:tr w:rsidR="001F7AF1" w:rsidRPr="00A7048A" w14:paraId="3AAE1467" w14:textId="77777777" w:rsidTr="001F7AF1">
        <w:tc>
          <w:tcPr>
            <w:tcW w:w="2401" w:type="dxa"/>
          </w:tcPr>
          <w:p w14:paraId="4BD039F6" w14:textId="33077783" w:rsidR="001F7AF1" w:rsidRPr="00B70BF1" w:rsidRDefault="001F7AF1" w:rsidP="00C44BE2">
            <w:pPr>
              <w:rPr>
                <w:sz w:val="20"/>
                <w:szCs w:val="20"/>
              </w:rPr>
            </w:pPr>
            <w:r>
              <w:rPr>
                <w:sz w:val="20"/>
                <w:szCs w:val="20"/>
              </w:rPr>
              <w:t>Engineering construction riggers and erectors (L3)</w:t>
            </w:r>
          </w:p>
        </w:tc>
        <w:tc>
          <w:tcPr>
            <w:tcW w:w="2370" w:type="dxa"/>
          </w:tcPr>
          <w:p w14:paraId="0E4C5F3F" w14:textId="146FC113" w:rsidR="001F7AF1" w:rsidRPr="00B70BF1" w:rsidRDefault="001F7AF1" w:rsidP="00C44BE2">
            <w:pPr>
              <w:rPr>
                <w:sz w:val="20"/>
                <w:szCs w:val="20"/>
              </w:rPr>
            </w:pPr>
            <w:r w:rsidRPr="00B70BF1">
              <w:rPr>
                <w:sz w:val="20"/>
                <w:szCs w:val="20"/>
              </w:rPr>
              <w:t>Grow via apprenticeship</w:t>
            </w:r>
          </w:p>
        </w:tc>
        <w:tc>
          <w:tcPr>
            <w:tcW w:w="1833" w:type="dxa"/>
          </w:tcPr>
          <w:p w14:paraId="5518B494" w14:textId="42AB4530" w:rsidR="001F7AF1" w:rsidRDefault="0073598F" w:rsidP="00C44BE2">
            <w:pPr>
              <w:rPr>
                <w:sz w:val="20"/>
                <w:szCs w:val="20"/>
              </w:rPr>
            </w:pPr>
            <w:r>
              <w:rPr>
                <w:sz w:val="20"/>
                <w:szCs w:val="20"/>
              </w:rPr>
              <w:t>Employers</w:t>
            </w:r>
            <w:r w:rsidR="00D435BD">
              <w:rPr>
                <w:sz w:val="20"/>
                <w:szCs w:val="20"/>
              </w:rPr>
              <w:t>/</w:t>
            </w:r>
            <w:r>
              <w:rPr>
                <w:sz w:val="20"/>
                <w:szCs w:val="20"/>
              </w:rPr>
              <w:t>LSIF?</w:t>
            </w:r>
          </w:p>
        </w:tc>
        <w:tc>
          <w:tcPr>
            <w:tcW w:w="2412" w:type="dxa"/>
          </w:tcPr>
          <w:p w14:paraId="22EEB54D" w14:textId="652B9C51" w:rsidR="001F7AF1" w:rsidRPr="00B70BF1" w:rsidRDefault="001F7AF1" w:rsidP="00C44BE2">
            <w:pPr>
              <w:rPr>
                <w:sz w:val="20"/>
                <w:szCs w:val="20"/>
              </w:rPr>
            </w:pPr>
            <w:r>
              <w:rPr>
                <w:sz w:val="20"/>
                <w:szCs w:val="20"/>
              </w:rPr>
              <w:t>No</w:t>
            </w:r>
          </w:p>
        </w:tc>
      </w:tr>
      <w:tr w:rsidR="001F7AF1" w:rsidRPr="00A7048A" w14:paraId="033BF0EA" w14:textId="77777777" w:rsidTr="001F7AF1">
        <w:tc>
          <w:tcPr>
            <w:tcW w:w="2401" w:type="dxa"/>
          </w:tcPr>
          <w:p w14:paraId="512B8F0F" w14:textId="74C1514A" w:rsidR="001F7AF1" w:rsidRDefault="001F7AF1" w:rsidP="00C44BE2">
            <w:pPr>
              <w:rPr>
                <w:sz w:val="20"/>
                <w:szCs w:val="20"/>
              </w:rPr>
            </w:pPr>
            <w:r>
              <w:rPr>
                <w:sz w:val="20"/>
                <w:szCs w:val="20"/>
              </w:rPr>
              <w:t>Installation electrician and maintenance electrician (L3)</w:t>
            </w:r>
          </w:p>
        </w:tc>
        <w:tc>
          <w:tcPr>
            <w:tcW w:w="2370" w:type="dxa"/>
          </w:tcPr>
          <w:p w14:paraId="0F1C0998" w14:textId="23C4C74B" w:rsidR="001F7AF1" w:rsidRPr="00B70BF1" w:rsidRDefault="001F7AF1" w:rsidP="00C44BE2">
            <w:pPr>
              <w:rPr>
                <w:sz w:val="20"/>
                <w:szCs w:val="20"/>
              </w:rPr>
            </w:pPr>
            <w:r>
              <w:rPr>
                <w:sz w:val="20"/>
                <w:szCs w:val="20"/>
              </w:rPr>
              <w:t>Grow via apprenticeship</w:t>
            </w:r>
          </w:p>
        </w:tc>
        <w:tc>
          <w:tcPr>
            <w:tcW w:w="1833" w:type="dxa"/>
          </w:tcPr>
          <w:p w14:paraId="18EFE3EF" w14:textId="6207DC83" w:rsidR="001F7AF1" w:rsidRDefault="00D435BD" w:rsidP="00C44BE2">
            <w:pPr>
              <w:rPr>
                <w:sz w:val="20"/>
                <w:szCs w:val="20"/>
              </w:rPr>
            </w:pPr>
            <w:r>
              <w:rPr>
                <w:sz w:val="20"/>
                <w:szCs w:val="20"/>
              </w:rPr>
              <w:t>Employers</w:t>
            </w:r>
          </w:p>
        </w:tc>
        <w:tc>
          <w:tcPr>
            <w:tcW w:w="2412" w:type="dxa"/>
          </w:tcPr>
          <w:p w14:paraId="41A8C936" w14:textId="68F4F88B" w:rsidR="001F7AF1" w:rsidRDefault="001F7AF1" w:rsidP="00C44BE2">
            <w:pPr>
              <w:rPr>
                <w:sz w:val="20"/>
                <w:szCs w:val="20"/>
              </w:rPr>
            </w:pPr>
            <w:r>
              <w:rPr>
                <w:sz w:val="20"/>
                <w:szCs w:val="20"/>
              </w:rPr>
              <w:t>Yes – Gen2 and all four colleges</w:t>
            </w:r>
          </w:p>
        </w:tc>
      </w:tr>
      <w:tr w:rsidR="0073598F" w:rsidRPr="00A7048A" w14:paraId="2D11E8D7" w14:textId="77777777" w:rsidTr="001F7AF1">
        <w:tc>
          <w:tcPr>
            <w:tcW w:w="2401" w:type="dxa"/>
          </w:tcPr>
          <w:p w14:paraId="4535204F" w14:textId="27B80371" w:rsidR="0073598F" w:rsidRDefault="0073598F" w:rsidP="00C44BE2">
            <w:pPr>
              <w:rPr>
                <w:sz w:val="20"/>
                <w:szCs w:val="20"/>
              </w:rPr>
            </w:pPr>
            <w:r>
              <w:rPr>
                <w:sz w:val="20"/>
                <w:szCs w:val="20"/>
              </w:rPr>
              <w:t>Scaffolders (L2)</w:t>
            </w:r>
          </w:p>
        </w:tc>
        <w:tc>
          <w:tcPr>
            <w:tcW w:w="2370" w:type="dxa"/>
          </w:tcPr>
          <w:p w14:paraId="22255470" w14:textId="4F270E19" w:rsidR="0073598F" w:rsidRDefault="0073598F" w:rsidP="00C44BE2">
            <w:pPr>
              <w:rPr>
                <w:sz w:val="20"/>
                <w:szCs w:val="20"/>
              </w:rPr>
            </w:pPr>
            <w:r>
              <w:rPr>
                <w:sz w:val="20"/>
                <w:szCs w:val="20"/>
              </w:rPr>
              <w:t>Grow via apprenticeship</w:t>
            </w:r>
            <w:r w:rsidR="009C3520">
              <w:rPr>
                <w:sz w:val="20"/>
                <w:szCs w:val="20"/>
              </w:rPr>
              <w:t>, full time FE courses</w:t>
            </w:r>
          </w:p>
        </w:tc>
        <w:tc>
          <w:tcPr>
            <w:tcW w:w="1833" w:type="dxa"/>
          </w:tcPr>
          <w:p w14:paraId="0D250915" w14:textId="2854C314" w:rsidR="0073598F" w:rsidRDefault="0073598F" w:rsidP="00C44BE2">
            <w:pPr>
              <w:rPr>
                <w:sz w:val="20"/>
                <w:szCs w:val="20"/>
              </w:rPr>
            </w:pPr>
            <w:r>
              <w:rPr>
                <w:sz w:val="20"/>
                <w:szCs w:val="20"/>
              </w:rPr>
              <w:t>Employers</w:t>
            </w:r>
          </w:p>
        </w:tc>
        <w:tc>
          <w:tcPr>
            <w:tcW w:w="2412" w:type="dxa"/>
          </w:tcPr>
          <w:p w14:paraId="60DA2D8A" w14:textId="0E150DBE" w:rsidR="0073598F" w:rsidRDefault="00C2578C" w:rsidP="00C44BE2">
            <w:pPr>
              <w:rPr>
                <w:sz w:val="20"/>
                <w:szCs w:val="20"/>
              </w:rPr>
            </w:pPr>
            <w:r>
              <w:rPr>
                <w:sz w:val="20"/>
                <w:szCs w:val="20"/>
              </w:rPr>
              <w:t>Yes – Lakes College</w:t>
            </w:r>
          </w:p>
        </w:tc>
      </w:tr>
      <w:tr w:rsidR="0042078D" w:rsidRPr="00A7048A" w14:paraId="6A2DB935" w14:textId="77777777" w:rsidTr="00693945">
        <w:tc>
          <w:tcPr>
            <w:tcW w:w="9016" w:type="dxa"/>
            <w:gridSpan w:val="4"/>
            <w:shd w:val="clear" w:color="auto" w:fill="9CC2E5" w:themeFill="accent5" w:themeFillTint="99"/>
          </w:tcPr>
          <w:p w14:paraId="7F93F512" w14:textId="3D710B5F" w:rsidR="0042078D" w:rsidRPr="0067359F" w:rsidRDefault="0042078D" w:rsidP="00C44BE2">
            <w:pPr>
              <w:rPr>
                <w:b/>
                <w:bCs/>
                <w:sz w:val="20"/>
                <w:szCs w:val="20"/>
              </w:rPr>
            </w:pPr>
            <w:r w:rsidRPr="0067359F">
              <w:rPr>
                <w:b/>
                <w:bCs/>
                <w:sz w:val="20"/>
                <w:szCs w:val="20"/>
              </w:rPr>
              <w:t>Operational phase</w:t>
            </w:r>
          </w:p>
        </w:tc>
      </w:tr>
      <w:tr w:rsidR="001F7AF1" w:rsidRPr="00A7048A" w14:paraId="6BE18C1D" w14:textId="77777777" w:rsidTr="001F7AF1">
        <w:tc>
          <w:tcPr>
            <w:tcW w:w="2401" w:type="dxa"/>
          </w:tcPr>
          <w:p w14:paraId="3D98A87E" w14:textId="1E15C555" w:rsidR="001F7AF1" w:rsidRDefault="001F7AF1" w:rsidP="00C44BE2">
            <w:pPr>
              <w:rPr>
                <w:sz w:val="20"/>
                <w:szCs w:val="20"/>
              </w:rPr>
            </w:pPr>
            <w:r>
              <w:rPr>
                <w:sz w:val="20"/>
                <w:szCs w:val="20"/>
              </w:rPr>
              <w:t>Electrical engineer (L6)</w:t>
            </w:r>
          </w:p>
        </w:tc>
        <w:tc>
          <w:tcPr>
            <w:tcW w:w="2370" w:type="dxa"/>
          </w:tcPr>
          <w:p w14:paraId="2484CBDB" w14:textId="0EA2B2C1" w:rsidR="001F7AF1" w:rsidRDefault="001F7AF1" w:rsidP="00C44BE2">
            <w:pPr>
              <w:rPr>
                <w:sz w:val="20"/>
                <w:szCs w:val="20"/>
              </w:rPr>
            </w:pPr>
            <w:r>
              <w:rPr>
                <w:sz w:val="20"/>
                <w:szCs w:val="20"/>
              </w:rPr>
              <w:t>Grow via T levels then FT HE</w:t>
            </w:r>
          </w:p>
        </w:tc>
        <w:tc>
          <w:tcPr>
            <w:tcW w:w="1833" w:type="dxa"/>
          </w:tcPr>
          <w:p w14:paraId="616BA2A7" w14:textId="61C8544C" w:rsidR="001F7AF1" w:rsidRDefault="001C5AF5" w:rsidP="00C44BE2">
            <w:pPr>
              <w:rPr>
                <w:sz w:val="20"/>
                <w:szCs w:val="20"/>
              </w:rPr>
            </w:pPr>
            <w:r>
              <w:rPr>
                <w:sz w:val="20"/>
                <w:szCs w:val="20"/>
              </w:rPr>
              <w:t>Mainstream DfE, Lifelong Loan Entitlement (LLE)</w:t>
            </w:r>
          </w:p>
        </w:tc>
        <w:tc>
          <w:tcPr>
            <w:tcW w:w="2412" w:type="dxa"/>
          </w:tcPr>
          <w:p w14:paraId="158D617C" w14:textId="25FFCD17" w:rsidR="001F7AF1" w:rsidRDefault="001F7AF1" w:rsidP="00C44BE2">
            <w:pPr>
              <w:rPr>
                <w:sz w:val="20"/>
                <w:szCs w:val="20"/>
              </w:rPr>
            </w:pPr>
            <w:r>
              <w:rPr>
                <w:sz w:val="20"/>
                <w:szCs w:val="20"/>
              </w:rPr>
              <w:t>Yes – T level at Kendal and Lakes colleges; BEng at Furness and Lakes College, HNC at Furness</w:t>
            </w:r>
          </w:p>
        </w:tc>
      </w:tr>
      <w:tr w:rsidR="001F7AF1" w:rsidRPr="00A7048A" w14:paraId="6E60CC1F" w14:textId="77777777" w:rsidTr="001F7AF1">
        <w:tc>
          <w:tcPr>
            <w:tcW w:w="2401" w:type="dxa"/>
          </w:tcPr>
          <w:p w14:paraId="2EABF259" w14:textId="200A32D2" w:rsidR="001F7AF1" w:rsidRDefault="001F7AF1" w:rsidP="00C44BE2">
            <w:pPr>
              <w:rPr>
                <w:sz w:val="20"/>
                <w:szCs w:val="20"/>
              </w:rPr>
            </w:pPr>
            <w:r>
              <w:rPr>
                <w:sz w:val="20"/>
                <w:szCs w:val="20"/>
              </w:rPr>
              <w:t>Mechanical engineers (L6)</w:t>
            </w:r>
          </w:p>
        </w:tc>
        <w:tc>
          <w:tcPr>
            <w:tcW w:w="2370" w:type="dxa"/>
          </w:tcPr>
          <w:p w14:paraId="157D16F4" w14:textId="1992B1D0" w:rsidR="001F7AF1" w:rsidRDefault="001F7AF1" w:rsidP="00C44BE2">
            <w:pPr>
              <w:rPr>
                <w:sz w:val="20"/>
                <w:szCs w:val="20"/>
              </w:rPr>
            </w:pPr>
            <w:r>
              <w:rPr>
                <w:sz w:val="20"/>
                <w:szCs w:val="20"/>
              </w:rPr>
              <w:t>Grow via FT HE and apprenticeship</w:t>
            </w:r>
          </w:p>
        </w:tc>
        <w:tc>
          <w:tcPr>
            <w:tcW w:w="1833" w:type="dxa"/>
          </w:tcPr>
          <w:p w14:paraId="0543956A" w14:textId="4AE0D445" w:rsidR="001F7AF1" w:rsidRDefault="001C5AF5" w:rsidP="00C44BE2">
            <w:pPr>
              <w:rPr>
                <w:sz w:val="20"/>
                <w:szCs w:val="20"/>
              </w:rPr>
            </w:pPr>
            <w:r>
              <w:rPr>
                <w:sz w:val="20"/>
                <w:szCs w:val="20"/>
              </w:rPr>
              <w:t>Employers, LLE</w:t>
            </w:r>
            <w:r w:rsidR="00C537BD">
              <w:rPr>
                <w:sz w:val="20"/>
                <w:szCs w:val="20"/>
              </w:rPr>
              <w:t xml:space="preserve"> for learner-led</w:t>
            </w:r>
          </w:p>
        </w:tc>
        <w:tc>
          <w:tcPr>
            <w:tcW w:w="2412" w:type="dxa"/>
          </w:tcPr>
          <w:p w14:paraId="7AE64137" w14:textId="5F20B81A" w:rsidR="001F7AF1" w:rsidRDefault="001F7AF1" w:rsidP="00C44BE2">
            <w:pPr>
              <w:rPr>
                <w:sz w:val="20"/>
                <w:szCs w:val="20"/>
              </w:rPr>
            </w:pPr>
            <w:r>
              <w:rPr>
                <w:sz w:val="20"/>
                <w:szCs w:val="20"/>
              </w:rPr>
              <w:t>Yes - Furness College (BEng)</w:t>
            </w:r>
          </w:p>
        </w:tc>
      </w:tr>
      <w:tr w:rsidR="001F7AF1" w:rsidRPr="00A7048A" w14:paraId="02E50B83" w14:textId="77777777" w:rsidTr="001F7AF1">
        <w:tc>
          <w:tcPr>
            <w:tcW w:w="2401" w:type="dxa"/>
          </w:tcPr>
          <w:p w14:paraId="1BC4B090" w14:textId="5269FB78" w:rsidR="001F7AF1" w:rsidRDefault="001F7AF1" w:rsidP="00C44BE2">
            <w:pPr>
              <w:rPr>
                <w:sz w:val="20"/>
                <w:szCs w:val="20"/>
              </w:rPr>
            </w:pPr>
            <w:r>
              <w:rPr>
                <w:sz w:val="20"/>
                <w:szCs w:val="20"/>
              </w:rPr>
              <w:t>Maintenance and Operations Engineering (L3)</w:t>
            </w:r>
          </w:p>
        </w:tc>
        <w:tc>
          <w:tcPr>
            <w:tcW w:w="2370" w:type="dxa"/>
          </w:tcPr>
          <w:p w14:paraId="63B6553C" w14:textId="14F8F97C" w:rsidR="001F7AF1" w:rsidRDefault="001F7AF1" w:rsidP="00C44BE2">
            <w:pPr>
              <w:rPr>
                <w:sz w:val="20"/>
                <w:szCs w:val="20"/>
              </w:rPr>
            </w:pPr>
            <w:r>
              <w:rPr>
                <w:sz w:val="20"/>
                <w:szCs w:val="20"/>
              </w:rPr>
              <w:t>Grow via apprenticeship</w:t>
            </w:r>
          </w:p>
        </w:tc>
        <w:tc>
          <w:tcPr>
            <w:tcW w:w="1833" w:type="dxa"/>
          </w:tcPr>
          <w:p w14:paraId="5E4C2812" w14:textId="7BFBEB9B" w:rsidR="001F7AF1" w:rsidRDefault="001C5AF5" w:rsidP="00C44BE2">
            <w:pPr>
              <w:rPr>
                <w:sz w:val="20"/>
                <w:szCs w:val="20"/>
              </w:rPr>
            </w:pPr>
            <w:r>
              <w:rPr>
                <w:sz w:val="20"/>
                <w:szCs w:val="20"/>
              </w:rPr>
              <w:t>Employers</w:t>
            </w:r>
          </w:p>
        </w:tc>
        <w:tc>
          <w:tcPr>
            <w:tcW w:w="2412" w:type="dxa"/>
          </w:tcPr>
          <w:p w14:paraId="64F0BF3A" w14:textId="096762F6" w:rsidR="001F7AF1" w:rsidRDefault="001F7AF1" w:rsidP="00C44BE2">
            <w:pPr>
              <w:rPr>
                <w:sz w:val="20"/>
                <w:szCs w:val="20"/>
              </w:rPr>
            </w:pPr>
            <w:r>
              <w:rPr>
                <w:sz w:val="20"/>
                <w:szCs w:val="20"/>
              </w:rPr>
              <w:t>Yes - Gen2, Furness College, NCG</w:t>
            </w:r>
          </w:p>
        </w:tc>
      </w:tr>
      <w:tr w:rsidR="001F7AF1" w:rsidRPr="00A7048A" w14:paraId="68780679" w14:textId="77777777" w:rsidTr="001F7AF1">
        <w:tc>
          <w:tcPr>
            <w:tcW w:w="2401" w:type="dxa"/>
          </w:tcPr>
          <w:p w14:paraId="2CAE4DE0" w14:textId="07A5F4EE" w:rsidR="001F7AF1" w:rsidRDefault="001F7AF1" w:rsidP="00C44BE2">
            <w:pPr>
              <w:rPr>
                <w:sz w:val="20"/>
                <w:szCs w:val="20"/>
              </w:rPr>
            </w:pPr>
            <w:r>
              <w:rPr>
                <w:sz w:val="20"/>
                <w:szCs w:val="20"/>
              </w:rPr>
              <w:t>Engineering technicians (L3/4)</w:t>
            </w:r>
          </w:p>
        </w:tc>
        <w:tc>
          <w:tcPr>
            <w:tcW w:w="2370" w:type="dxa"/>
          </w:tcPr>
          <w:p w14:paraId="35EE5B26" w14:textId="456BD2E1" w:rsidR="001F7AF1" w:rsidRDefault="001F7AF1" w:rsidP="00C44BE2">
            <w:pPr>
              <w:rPr>
                <w:sz w:val="20"/>
                <w:szCs w:val="20"/>
              </w:rPr>
            </w:pPr>
            <w:r>
              <w:rPr>
                <w:sz w:val="20"/>
                <w:szCs w:val="20"/>
              </w:rPr>
              <w:t>Grow via apprenticeship</w:t>
            </w:r>
            <w:r w:rsidR="00EA60D9">
              <w:rPr>
                <w:sz w:val="20"/>
                <w:szCs w:val="20"/>
              </w:rPr>
              <w:t xml:space="preserve">, 16-19 FT FE, </w:t>
            </w:r>
            <w:r>
              <w:rPr>
                <w:sz w:val="20"/>
                <w:szCs w:val="20"/>
              </w:rPr>
              <w:t>and HNC</w:t>
            </w:r>
          </w:p>
        </w:tc>
        <w:tc>
          <w:tcPr>
            <w:tcW w:w="1833" w:type="dxa"/>
          </w:tcPr>
          <w:p w14:paraId="53811063" w14:textId="733E9DBE" w:rsidR="001F7AF1" w:rsidRDefault="00E3713B" w:rsidP="00C44BE2">
            <w:pPr>
              <w:rPr>
                <w:sz w:val="20"/>
                <w:szCs w:val="20"/>
              </w:rPr>
            </w:pPr>
            <w:r>
              <w:rPr>
                <w:sz w:val="20"/>
                <w:szCs w:val="20"/>
              </w:rPr>
              <w:t>Mainstream DfE, employers, Lifelong Loan Entitlement (LLE)</w:t>
            </w:r>
          </w:p>
        </w:tc>
        <w:tc>
          <w:tcPr>
            <w:tcW w:w="2412" w:type="dxa"/>
          </w:tcPr>
          <w:p w14:paraId="142B9ECE" w14:textId="25233A52" w:rsidR="001F7AF1" w:rsidRDefault="001F7AF1" w:rsidP="00C44BE2">
            <w:pPr>
              <w:rPr>
                <w:sz w:val="20"/>
                <w:szCs w:val="20"/>
              </w:rPr>
            </w:pPr>
            <w:r>
              <w:rPr>
                <w:sz w:val="20"/>
                <w:szCs w:val="20"/>
              </w:rPr>
              <w:t>Yes – BAE Systems, Gen2, Lakes College (apprenticeship); NCG and Kendal College for the HNC</w:t>
            </w:r>
          </w:p>
        </w:tc>
      </w:tr>
      <w:tr w:rsidR="001F7AF1" w:rsidRPr="00A7048A" w14:paraId="5DC169D7" w14:textId="77777777" w:rsidTr="001F7AF1">
        <w:tc>
          <w:tcPr>
            <w:tcW w:w="2401" w:type="dxa"/>
          </w:tcPr>
          <w:p w14:paraId="0D3467EF" w14:textId="4F98010E" w:rsidR="001F7AF1" w:rsidRDefault="001F7AF1" w:rsidP="00C44BE2">
            <w:pPr>
              <w:rPr>
                <w:sz w:val="20"/>
                <w:szCs w:val="20"/>
              </w:rPr>
            </w:pPr>
            <w:r>
              <w:rPr>
                <w:sz w:val="20"/>
                <w:szCs w:val="20"/>
              </w:rPr>
              <w:t>Pipe and plate welders (L3)</w:t>
            </w:r>
          </w:p>
        </w:tc>
        <w:tc>
          <w:tcPr>
            <w:tcW w:w="2370" w:type="dxa"/>
          </w:tcPr>
          <w:p w14:paraId="2E8404E1" w14:textId="16D97D92" w:rsidR="001F7AF1" w:rsidRDefault="001F7AF1" w:rsidP="00C44BE2">
            <w:pPr>
              <w:rPr>
                <w:sz w:val="20"/>
                <w:szCs w:val="20"/>
              </w:rPr>
            </w:pPr>
            <w:r>
              <w:rPr>
                <w:sz w:val="20"/>
                <w:szCs w:val="20"/>
              </w:rPr>
              <w:t>Upgrading via short adult courses, possibly apprenticeships too</w:t>
            </w:r>
          </w:p>
        </w:tc>
        <w:tc>
          <w:tcPr>
            <w:tcW w:w="1833" w:type="dxa"/>
          </w:tcPr>
          <w:p w14:paraId="07C2BFC1" w14:textId="6EDF8123" w:rsidR="001F7AF1" w:rsidRDefault="00E3713B" w:rsidP="00C44BE2">
            <w:pPr>
              <w:rPr>
                <w:sz w:val="20"/>
                <w:szCs w:val="20"/>
              </w:rPr>
            </w:pPr>
            <w:r>
              <w:rPr>
                <w:sz w:val="20"/>
                <w:szCs w:val="20"/>
              </w:rPr>
              <w:t>AEB, employers</w:t>
            </w:r>
          </w:p>
        </w:tc>
        <w:tc>
          <w:tcPr>
            <w:tcW w:w="2412" w:type="dxa"/>
          </w:tcPr>
          <w:p w14:paraId="19BC0967" w14:textId="42245AF8" w:rsidR="001F7AF1" w:rsidRDefault="001F7AF1" w:rsidP="00C44BE2">
            <w:pPr>
              <w:rPr>
                <w:sz w:val="20"/>
                <w:szCs w:val="20"/>
              </w:rPr>
            </w:pPr>
            <w:r>
              <w:rPr>
                <w:sz w:val="20"/>
                <w:szCs w:val="20"/>
              </w:rPr>
              <w:t>Yes – AEB via Furness College; apprenticeship via Furness, Lakes and Gen2</w:t>
            </w:r>
          </w:p>
        </w:tc>
      </w:tr>
      <w:tr w:rsidR="001F7AF1" w:rsidRPr="00A7048A" w14:paraId="105C8761" w14:textId="77777777" w:rsidTr="001F7AF1">
        <w:tc>
          <w:tcPr>
            <w:tcW w:w="2401" w:type="dxa"/>
          </w:tcPr>
          <w:p w14:paraId="09C3D73F" w14:textId="664F50B4" w:rsidR="001F7AF1" w:rsidRDefault="001F7AF1" w:rsidP="00C44BE2">
            <w:pPr>
              <w:rPr>
                <w:sz w:val="20"/>
                <w:szCs w:val="20"/>
              </w:rPr>
            </w:pPr>
            <w:r>
              <w:rPr>
                <w:sz w:val="20"/>
                <w:szCs w:val="20"/>
              </w:rPr>
              <w:t>Engineering fitters (L3)</w:t>
            </w:r>
          </w:p>
        </w:tc>
        <w:tc>
          <w:tcPr>
            <w:tcW w:w="2370" w:type="dxa"/>
          </w:tcPr>
          <w:p w14:paraId="3925377F" w14:textId="2A432983" w:rsidR="001F7AF1" w:rsidRDefault="001F7AF1" w:rsidP="00C44BE2">
            <w:pPr>
              <w:rPr>
                <w:sz w:val="20"/>
                <w:szCs w:val="20"/>
              </w:rPr>
            </w:pPr>
            <w:r>
              <w:rPr>
                <w:sz w:val="20"/>
                <w:szCs w:val="20"/>
              </w:rPr>
              <w:t>Grow via apprenticeship</w:t>
            </w:r>
          </w:p>
        </w:tc>
        <w:tc>
          <w:tcPr>
            <w:tcW w:w="1833" w:type="dxa"/>
          </w:tcPr>
          <w:p w14:paraId="4F2C3528" w14:textId="51162F4B" w:rsidR="001F7AF1" w:rsidRDefault="00E3713B" w:rsidP="00C44BE2">
            <w:pPr>
              <w:rPr>
                <w:sz w:val="20"/>
                <w:szCs w:val="20"/>
              </w:rPr>
            </w:pPr>
            <w:r>
              <w:rPr>
                <w:sz w:val="20"/>
                <w:szCs w:val="20"/>
              </w:rPr>
              <w:t>Employers</w:t>
            </w:r>
          </w:p>
        </w:tc>
        <w:tc>
          <w:tcPr>
            <w:tcW w:w="2412" w:type="dxa"/>
          </w:tcPr>
          <w:p w14:paraId="63CED209" w14:textId="73278BD4" w:rsidR="001F7AF1" w:rsidRDefault="001F7AF1" w:rsidP="00C44BE2">
            <w:pPr>
              <w:rPr>
                <w:sz w:val="20"/>
                <w:szCs w:val="20"/>
              </w:rPr>
            </w:pPr>
            <w:r>
              <w:rPr>
                <w:sz w:val="20"/>
                <w:szCs w:val="20"/>
              </w:rPr>
              <w:t>Yes – Gen2, Lakes College, Kendal College</w:t>
            </w:r>
          </w:p>
        </w:tc>
      </w:tr>
      <w:tr w:rsidR="001F7AF1" w:rsidRPr="00A7048A" w14:paraId="421BC83B" w14:textId="77777777" w:rsidTr="001F7AF1">
        <w:tc>
          <w:tcPr>
            <w:tcW w:w="2401" w:type="dxa"/>
          </w:tcPr>
          <w:p w14:paraId="4115C014" w14:textId="6CB5CB2F" w:rsidR="001F7AF1" w:rsidRPr="00DA6C13" w:rsidRDefault="001F7AF1" w:rsidP="00C44BE2">
            <w:pPr>
              <w:rPr>
                <w:sz w:val="20"/>
                <w:szCs w:val="20"/>
              </w:rPr>
            </w:pPr>
            <w:r w:rsidRPr="00DA6C13">
              <w:rPr>
                <w:sz w:val="20"/>
                <w:szCs w:val="20"/>
              </w:rPr>
              <w:t>Engineering design and draughtspersons (L3)</w:t>
            </w:r>
          </w:p>
        </w:tc>
        <w:tc>
          <w:tcPr>
            <w:tcW w:w="2370" w:type="dxa"/>
          </w:tcPr>
          <w:p w14:paraId="7A76A145" w14:textId="78F3727B" w:rsidR="001F7AF1" w:rsidRDefault="001F7AF1" w:rsidP="00C44BE2">
            <w:pPr>
              <w:rPr>
                <w:sz w:val="20"/>
                <w:szCs w:val="20"/>
              </w:rPr>
            </w:pPr>
            <w:r>
              <w:rPr>
                <w:sz w:val="20"/>
                <w:szCs w:val="20"/>
              </w:rPr>
              <w:t>Grow via apprenticeship</w:t>
            </w:r>
          </w:p>
        </w:tc>
        <w:tc>
          <w:tcPr>
            <w:tcW w:w="1833" w:type="dxa"/>
          </w:tcPr>
          <w:p w14:paraId="483FCF65" w14:textId="7306B67C" w:rsidR="001F7AF1" w:rsidRDefault="00E3713B" w:rsidP="00C44BE2">
            <w:pPr>
              <w:rPr>
                <w:sz w:val="20"/>
                <w:szCs w:val="20"/>
              </w:rPr>
            </w:pPr>
            <w:r>
              <w:rPr>
                <w:sz w:val="20"/>
                <w:szCs w:val="20"/>
              </w:rPr>
              <w:t>Employers</w:t>
            </w:r>
          </w:p>
        </w:tc>
        <w:tc>
          <w:tcPr>
            <w:tcW w:w="2412" w:type="dxa"/>
          </w:tcPr>
          <w:p w14:paraId="3415C463" w14:textId="17202BDF" w:rsidR="001F7AF1" w:rsidRDefault="001F7AF1" w:rsidP="00C44BE2">
            <w:pPr>
              <w:rPr>
                <w:sz w:val="20"/>
                <w:szCs w:val="20"/>
              </w:rPr>
            </w:pPr>
            <w:r>
              <w:rPr>
                <w:sz w:val="20"/>
                <w:szCs w:val="20"/>
              </w:rPr>
              <w:t>Yes – BAE Systems, Gen2</w:t>
            </w:r>
          </w:p>
        </w:tc>
      </w:tr>
      <w:tr w:rsidR="00954599" w:rsidRPr="00A7048A" w14:paraId="21C5223A" w14:textId="77777777" w:rsidTr="001F7AF1">
        <w:tc>
          <w:tcPr>
            <w:tcW w:w="2401" w:type="dxa"/>
          </w:tcPr>
          <w:p w14:paraId="756F3160" w14:textId="3BBF351F" w:rsidR="00954599" w:rsidRPr="00DA6C13" w:rsidRDefault="00954599" w:rsidP="00C44BE2">
            <w:pPr>
              <w:rPr>
                <w:sz w:val="20"/>
                <w:szCs w:val="20"/>
              </w:rPr>
            </w:pPr>
            <w:r>
              <w:rPr>
                <w:sz w:val="20"/>
                <w:szCs w:val="20"/>
              </w:rPr>
              <w:t>Project controls technician (L3)</w:t>
            </w:r>
          </w:p>
        </w:tc>
        <w:tc>
          <w:tcPr>
            <w:tcW w:w="2370" w:type="dxa"/>
          </w:tcPr>
          <w:p w14:paraId="45C636E5" w14:textId="7436E5A8" w:rsidR="00954599" w:rsidRDefault="0019650D" w:rsidP="00C44BE2">
            <w:pPr>
              <w:rPr>
                <w:sz w:val="20"/>
                <w:szCs w:val="20"/>
              </w:rPr>
            </w:pPr>
            <w:r>
              <w:rPr>
                <w:sz w:val="20"/>
                <w:szCs w:val="20"/>
              </w:rPr>
              <w:t>Grow via apprenticeship</w:t>
            </w:r>
          </w:p>
        </w:tc>
        <w:tc>
          <w:tcPr>
            <w:tcW w:w="1833" w:type="dxa"/>
          </w:tcPr>
          <w:p w14:paraId="6034D551" w14:textId="4C874D97" w:rsidR="00954599" w:rsidRDefault="0019650D" w:rsidP="00C44BE2">
            <w:pPr>
              <w:rPr>
                <w:sz w:val="20"/>
                <w:szCs w:val="20"/>
              </w:rPr>
            </w:pPr>
            <w:r>
              <w:rPr>
                <w:sz w:val="20"/>
                <w:szCs w:val="20"/>
              </w:rPr>
              <w:t>Employers</w:t>
            </w:r>
          </w:p>
        </w:tc>
        <w:tc>
          <w:tcPr>
            <w:tcW w:w="2412" w:type="dxa"/>
          </w:tcPr>
          <w:p w14:paraId="65E8745E" w14:textId="653C022F" w:rsidR="00954599" w:rsidRDefault="0019650D" w:rsidP="00C44BE2">
            <w:pPr>
              <w:rPr>
                <w:sz w:val="20"/>
                <w:szCs w:val="20"/>
              </w:rPr>
            </w:pPr>
            <w:r>
              <w:rPr>
                <w:sz w:val="20"/>
                <w:szCs w:val="20"/>
              </w:rPr>
              <w:t>Yes – Lakes College</w:t>
            </w:r>
          </w:p>
        </w:tc>
      </w:tr>
      <w:tr w:rsidR="0019650D" w:rsidRPr="00A7048A" w14:paraId="43E551E7" w14:textId="77777777" w:rsidTr="001F7AF1">
        <w:tc>
          <w:tcPr>
            <w:tcW w:w="2401" w:type="dxa"/>
          </w:tcPr>
          <w:p w14:paraId="21EC2657" w14:textId="1B4A217F" w:rsidR="0019650D" w:rsidRDefault="0019650D" w:rsidP="00C44BE2">
            <w:pPr>
              <w:rPr>
                <w:sz w:val="20"/>
                <w:szCs w:val="20"/>
              </w:rPr>
            </w:pPr>
            <w:r>
              <w:rPr>
                <w:sz w:val="20"/>
                <w:szCs w:val="20"/>
              </w:rPr>
              <w:t>Project controls professional (L6)</w:t>
            </w:r>
          </w:p>
        </w:tc>
        <w:tc>
          <w:tcPr>
            <w:tcW w:w="2370" w:type="dxa"/>
          </w:tcPr>
          <w:p w14:paraId="7B879F75" w14:textId="0C83F140" w:rsidR="0019650D" w:rsidRDefault="0019650D" w:rsidP="00C44BE2">
            <w:pPr>
              <w:rPr>
                <w:sz w:val="20"/>
                <w:szCs w:val="20"/>
              </w:rPr>
            </w:pPr>
            <w:r>
              <w:rPr>
                <w:sz w:val="20"/>
                <w:szCs w:val="20"/>
              </w:rPr>
              <w:t>Grow via apprenticeship and short courses</w:t>
            </w:r>
          </w:p>
        </w:tc>
        <w:tc>
          <w:tcPr>
            <w:tcW w:w="1833" w:type="dxa"/>
          </w:tcPr>
          <w:p w14:paraId="1CFD5320" w14:textId="1A356D18" w:rsidR="0019650D" w:rsidRDefault="0019650D" w:rsidP="00C44BE2">
            <w:pPr>
              <w:rPr>
                <w:sz w:val="20"/>
                <w:szCs w:val="20"/>
              </w:rPr>
            </w:pPr>
            <w:r>
              <w:rPr>
                <w:sz w:val="20"/>
                <w:szCs w:val="20"/>
              </w:rPr>
              <w:t>Employers</w:t>
            </w:r>
          </w:p>
        </w:tc>
        <w:tc>
          <w:tcPr>
            <w:tcW w:w="2412" w:type="dxa"/>
          </w:tcPr>
          <w:p w14:paraId="3D6AC3C6" w14:textId="47CFF481" w:rsidR="0019650D" w:rsidRDefault="005D3B26" w:rsidP="00C44BE2">
            <w:pPr>
              <w:rPr>
                <w:sz w:val="20"/>
                <w:szCs w:val="20"/>
              </w:rPr>
            </w:pPr>
            <w:r>
              <w:rPr>
                <w:sz w:val="20"/>
                <w:szCs w:val="20"/>
              </w:rPr>
              <w:t>No</w:t>
            </w:r>
          </w:p>
        </w:tc>
      </w:tr>
    </w:tbl>
    <w:p w14:paraId="7B71BF38" w14:textId="77777777" w:rsidR="00610271" w:rsidRDefault="00610271" w:rsidP="00E832BC"/>
    <w:p w14:paraId="410B2ED9" w14:textId="77777777" w:rsidR="00021EF5" w:rsidRDefault="00021EF5">
      <w:pPr>
        <w:rPr>
          <w:rFonts w:asciiTheme="majorHAnsi" w:eastAsiaTheme="majorEastAsia" w:hAnsiTheme="majorHAnsi" w:cstheme="majorBidi"/>
          <w:color w:val="2F5496" w:themeColor="accent1" w:themeShade="BF"/>
          <w:sz w:val="26"/>
          <w:szCs w:val="26"/>
        </w:rPr>
      </w:pPr>
      <w:r>
        <w:br w:type="page"/>
      </w:r>
    </w:p>
    <w:p w14:paraId="038764C3" w14:textId="77777777" w:rsidR="009C3520" w:rsidRDefault="009C3520" w:rsidP="00353527">
      <w:pPr>
        <w:pStyle w:val="Heading2"/>
        <w:sectPr w:rsidR="009C3520" w:rsidSect="00FC2142">
          <w:footerReference w:type="default" r:id="rId20"/>
          <w:pgSz w:w="11906" w:h="16838"/>
          <w:pgMar w:top="1440" w:right="1440" w:bottom="1440" w:left="1440" w:header="708" w:footer="708" w:gutter="0"/>
          <w:cols w:space="708"/>
          <w:docGrid w:linePitch="360"/>
        </w:sectPr>
      </w:pPr>
    </w:p>
    <w:p w14:paraId="172C257C" w14:textId="677650EB" w:rsidR="00353527" w:rsidRDefault="00353527" w:rsidP="00353527">
      <w:pPr>
        <w:pStyle w:val="Heading2"/>
      </w:pPr>
      <w:bookmarkStart w:id="22" w:name="_Toc135938271"/>
      <w:r>
        <w:t>6.4 Way forward</w:t>
      </w:r>
      <w:bookmarkEnd w:id="22"/>
    </w:p>
    <w:p w14:paraId="00BA5DBD" w14:textId="77777777" w:rsidR="00353527" w:rsidRDefault="00353527" w:rsidP="00E832BC"/>
    <w:tbl>
      <w:tblPr>
        <w:tblStyle w:val="TableGrid"/>
        <w:tblW w:w="0" w:type="auto"/>
        <w:tblLook w:val="04A0" w:firstRow="1" w:lastRow="0" w:firstColumn="1" w:lastColumn="0" w:noHBand="0" w:noVBand="1"/>
      </w:tblPr>
      <w:tblGrid>
        <w:gridCol w:w="6099"/>
        <w:gridCol w:w="3583"/>
        <w:gridCol w:w="1251"/>
        <w:gridCol w:w="608"/>
        <w:gridCol w:w="1119"/>
        <w:gridCol w:w="1288"/>
      </w:tblGrid>
      <w:tr w:rsidR="00CD77F0" w:rsidRPr="007031E7" w14:paraId="156F722F" w14:textId="77777777" w:rsidTr="00F376AB">
        <w:trPr>
          <w:tblHeader/>
        </w:trPr>
        <w:tc>
          <w:tcPr>
            <w:tcW w:w="0" w:type="auto"/>
            <w:shd w:val="clear" w:color="auto" w:fill="D9D9D9" w:themeFill="background1" w:themeFillShade="D9"/>
          </w:tcPr>
          <w:p w14:paraId="2FC57546" w14:textId="225FF0DE" w:rsidR="007031E7" w:rsidRPr="007031E7" w:rsidRDefault="007031E7" w:rsidP="00E832BC">
            <w:pPr>
              <w:rPr>
                <w:b/>
                <w:bCs/>
                <w:sz w:val="20"/>
                <w:szCs w:val="20"/>
              </w:rPr>
            </w:pPr>
            <w:r w:rsidRPr="007031E7">
              <w:rPr>
                <w:b/>
                <w:bCs/>
                <w:sz w:val="20"/>
                <w:szCs w:val="20"/>
              </w:rPr>
              <w:t>Change and expected impact</w:t>
            </w:r>
          </w:p>
        </w:tc>
        <w:tc>
          <w:tcPr>
            <w:tcW w:w="0" w:type="auto"/>
            <w:shd w:val="clear" w:color="auto" w:fill="D9D9D9" w:themeFill="background1" w:themeFillShade="D9"/>
          </w:tcPr>
          <w:p w14:paraId="4530CE14" w14:textId="03063DED" w:rsidR="007031E7" w:rsidRPr="007031E7" w:rsidRDefault="007031E7" w:rsidP="00E832BC">
            <w:pPr>
              <w:rPr>
                <w:b/>
                <w:bCs/>
                <w:sz w:val="20"/>
                <w:szCs w:val="20"/>
              </w:rPr>
            </w:pPr>
            <w:r w:rsidRPr="007031E7">
              <w:rPr>
                <w:b/>
                <w:bCs/>
                <w:sz w:val="20"/>
                <w:szCs w:val="20"/>
              </w:rPr>
              <w:t>Actions</w:t>
            </w:r>
          </w:p>
        </w:tc>
        <w:tc>
          <w:tcPr>
            <w:tcW w:w="0" w:type="auto"/>
            <w:shd w:val="clear" w:color="auto" w:fill="D9D9D9" w:themeFill="background1" w:themeFillShade="D9"/>
          </w:tcPr>
          <w:p w14:paraId="7C5EB253" w14:textId="5D02EBB1" w:rsidR="007031E7" w:rsidRPr="007031E7" w:rsidRDefault="007031E7" w:rsidP="00E832BC">
            <w:pPr>
              <w:rPr>
                <w:b/>
                <w:bCs/>
                <w:sz w:val="20"/>
                <w:szCs w:val="20"/>
              </w:rPr>
            </w:pPr>
            <w:r w:rsidRPr="007031E7">
              <w:rPr>
                <w:b/>
                <w:bCs/>
                <w:sz w:val="20"/>
                <w:szCs w:val="20"/>
              </w:rPr>
              <w:t>Owner</w:t>
            </w:r>
          </w:p>
        </w:tc>
        <w:tc>
          <w:tcPr>
            <w:tcW w:w="0" w:type="auto"/>
            <w:shd w:val="clear" w:color="auto" w:fill="D9D9D9" w:themeFill="background1" w:themeFillShade="D9"/>
          </w:tcPr>
          <w:p w14:paraId="57EC0AEB" w14:textId="1394DC17" w:rsidR="007031E7" w:rsidRPr="007031E7" w:rsidRDefault="007031E7" w:rsidP="00E832BC">
            <w:pPr>
              <w:rPr>
                <w:b/>
                <w:bCs/>
                <w:sz w:val="20"/>
                <w:szCs w:val="20"/>
              </w:rPr>
            </w:pPr>
            <w:r w:rsidRPr="007031E7">
              <w:rPr>
                <w:b/>
                <w:bCs/>
                <w:sz w:val="20"/>
                <w:szCs w:val="20"/>
              </w:rPr>
              <w:t>Lead</w:t>
            </w:r>
          </w:p>
        </w:tc>
        <w:tc>
          <w:tcPr>
            <w:tcW w:w="0" w:type="auto"/>
            <w:shd w:val="clear" w:color="auto" w:fill="D9D9D9" w:themeFill="background1" w:themeFillShade="D9"/>
          </w:tcPr>
          <w:p w14:paraId="156BC173" w14:textId="4502F54E" w:rsidR="007031E7" w:rsidRPr="007031E7" w:rsidRDefault="007031E7" w:rsidP="00E832BC">
            <w:pPr>
              <w:rPr>
                <w:b/>
                <w:bCs/>
                <w:sz w:val="20"/>
                <w:szCs w:val="20"/>
              </w:rPr>
            </w:pPr>
            <w:r w:rsidRPr="007031E7">
              <w:rPr>
                <w:b/>
                <w:bCs/>
                <w:sz w:val="20"/>
                <w:szCs w:val="20"/>
              </w:rPr>
              <w:t>Timescale</w:t>
            </w:r>
          </w:p>
        </w:tc>
        <w:tc>
          <w:tcPr>
            <w:tcW w:w="0" w:type="auto"/>
            <w:shd w:val="clear" w:color="auto" w:fill="D9D9D9" w:themeFill="background1" w:themeFillShade="D9"/>
          </w:tcPr>
          <w:p w14:paraId="61E917B7" w14:textId="7219639F" w:rsidR="007031E7" w:rsidRPr="007031E7" w:rsidRDefault="007031E7" w:rsidP="00E832BC">
            <w:pPr>
              <w:rPr>
                <w:b/>
                <w:bCs/>
                <w:sz w:val="20"/>
                <w:szCs w:val="20"/>
              </w:rPr>
            </w:pPr>
            <w:r w:rsidRPr="007031E7">
              <w:rPr>
                <w:b/>
                <w:bCs/>
                <w:sz w:val="20"/>
                <w:szCs w:val="20"/>
              </w:rPr>
              <w:t>Funding (if applicable)</w:t>
            </w:r>
          </w:p>
        </w:tc>
      </w:tr>
      <w:tr w:rsidR="00CD77F0" w:rsidRPr="007031E7" w14:paraId="6723366F" w14:textId="77777777" w:rsidTr="00EA120E">
        <w:tc>
          <w:tcPr>
            <w:tcW w:w="0" w:type="auto"/>
          </w:tcPr>
          <w:p w14:paraId="6F7C2FE4" w14:textId="2E150455" w:rsidR="007031E7" w:rsidRPr="007031E7" w:rsidRDefault="00585571" w:rsidP="00E832BC">
            <w:pPr>
              <w:rPr>
                <w:sz w:val="20"/>
                <w:szCs w:val="20"/>
              </w:rPr>
            </w:pPr>
            <w:r>
              <w:rPr>
                <w:sz w:val="20"/>
                <w:szCs w:val="20"/>
              </w:rPr>
              <w:t>Expansion and</w:t>
            </w:r>
            <w:r w:rsidR="00EA120E">
              <w:rPr>
                <w:sz w:val="20"/>
                <w:szCs w:val="20"/>
              </w:rPr>
              <w:t xml:space="preserve"> further development of </w:t>
            </w:r>
            <w:r w:rsidR="00433D16">
              <w:rPr>
                <w:sz w:val="20"/>
                <w:szCs w:val="20"/>
              </w:rPr>
              <w:t>regional supply chain and skills hub for SZC, maximising the value of the £2.5bn MoU signed recently</w:t>
            </w:r>
            <w:r>
              <w:rPr>
                <w:sz w:val="20"/>
                <w:szCs w:val="20"/>
              </w:rPr>
              <w:t xml:space="preserve"> </w:t>
            </w:r>
          </w:p>
        </w:tc>
        <w:tc>
          <w:tcPr>
            <w:tcW w:w="0" w:type="auto"/>
          </w:tcPr>
          <w:p w14:paraId="28B618EC" w14:textId="32F105B6" w:rsidR="007031E7" w:rsidRDefault="00264550" w:rsidP="00E832BC">
            <w:pPr>
              <w:rPr>
                <w:sz w:val="20"/>
                <w:szCs w:val="20"/>
              </w:rPr>
            </w:pPr>
            <w:r>
              <w:rPr>
                <w:sz w:val="20"/>
                <w:szCs w:val="20"/>
              </w:rPr>
              <w:t xml:space="preserve">Share </w:t>
            </w:r>
            <w:r w:rsidR="0036104F">
              <w:rPr>
                <w:sz w:val="20"/>
                <w:szCs w:val="20"/>
              </w:rPr>
              <w:t>initial</w:t>
            </w:r>
            <w:r>
              <w:rPr>
                <w:sz w:val="20"/>
                <w:szCs w:val="20"/>
              </w:rPr>
              <w:t xml:space="preserve"> proposal </w:t>
            </w:r>
            <w:r w:rsidR="004D5D50">
              <w:rPr>
                <w:sz w:val="20"/>
                <w:szCs w:val="20"/>
              </w:rPr>
              <w:t>w</w:t>
            </w:r>
            <w:r w:rsidR="00A42D5B">
              <w:rPr>
                <w:sz w:val="20"/>
                <w:szCs w:val="20"/>
              </w:rPr>
              <w:t>ith SZC consortium</w:t>
            </w:r>
            <w:r w:rsidR="0036104F">
              <w:rPr>
                <w:sz w:val="20"/>
                <w:szCs w:val="20"/>
              </w:rPr>
              <w:t>, refine on feedback</w:t>
            </w:r>
          </w:p>
          <w:p w14:paraId="146A256D" w14:textId="77777777" w:rsidR="0036104F" w:rsidRDefault="0036104F" w:rsidP="00E832BC">
            <w:pPr>
              <w:rPr>
                <w:sz w:val="20"/>
                <w:szCs w:val="20"/>
              </w:rPr>
            </w:pPr>
          </w:p>
          <w:p w14:paraId="447FF23A" w14:textId="680AE589" w:rsidR="0036104F" w:rsidRDefault="0036104F" w:rsidP="00E832BC">
            <w:pPr>
              <w:rPr>
                <w:sz w:val="20"/>
                <w:szCs w:val="20"/>
              </w:rPr>
            </w:pPr>
            <w:r>
              <w:rPr>
                <w:sz w:val="20"/>
                <w:szCs w:val="20"/>
              </w:rPr>
              <w:t xml:space="preserve">Consult on updated proposal with </w:t>
            </w:r>
            <w:r w:rsidR="00307728">
              <w:rPr>
                <w:sz w:val="20"/>
                <w:szCs w:val="20"/>
              </w:rPr>
              <w:t>key employers</w:t>
            </w:r>
            <w:r w:rsidR="002C0E7F">
              <w:rPr>
                <w:sz w:val="20"/>
                <w:szCs w:val="20"/>
              </w:rPr>
              <w:t xml:space="preserve"> (and supply chains)</w:t>
            </w:r>
            <w:r w:rsidR="00307728">
              <w:rPr>
                <w:sz w:val="20"/>
                <w:szCs w:val="20"/>
              </w:rPr>
              <w:t>, networks and training providers</w:t>
            </w:r>
          </w:p>
          <w:p w14:paraId="4F474F08" w14:textId="77777777" w:rsidR="00B432E6" w:rsidRDefault="00B432E6" w:rsidP="00E832BC">
            <w:pPr>
              <w:rPr>
                <w:sz w:val="20"/>
                <w:szCs w:val="20"/>
              </w:rPr>
            </w:pPr>
          </w:p>
          <w:p w14:paraId="5867AA8F" w14:textId="342500F8" w:rsidR="00B432E6" w:rsidRDefault="00B432E6" w:rsidP="00E832BC">
            <w:pPr>
              <w:rPr>
                <w:sz w:val="20"/>
                <w:szCs w:val="20"/>
              </w:rPr>
            </w:pPr>
            <w:r>
              <w:rPr>
                <w:sz w:val="20"/>
                <w:szCs w:val="20"/>
              </w:rPr>
              <w:t>Explore options for a physical base for hub</w:t>
            </w:r>
          </w:p>
          <w:p w14:paraId="2B30F59E" w14:textId="77777777" w:rsidR="00B432E6" w:rsidRDefault="00B432E6" w:rsidP="00E832BC">
            <w:pPr>
              <w:rPr>
                <w:sz w:val="20"/>
                <w:szCs w:val="20"/>
              </w:rPr>
            </w:pPr>
          </w:p>
          <w:p w14:paraId="3B5D6D5A" w14:textId="2E55F1FC" w:rsidR="00B432E6" w:rsidRDefault="00D90E96" w:rsidP="00E832BC">
            <w:pPr>
              <w:rPr>
                <w:sz w:val="20"/>
                <w:szCs w:val="20"/>
              </w:rPr>
            </w:pPr>
            <w:r>
              <w:rPr>
                <w:sz w:val="20"/>
                <w:szCs w:val="20"/>
              </w:rPr>
              <w:t>Explore funding options</w:t>
            </w:r>
            <w:r w:rsidR="00E04384">
              <w:rPr>
                <w:sz w:val="20"/>
                <w:szCs w:val="20"/>
              </w:rPr>
              <w:t xml:space="preserve">, draft budget and </w:t>
            </w:r>
            <w:r w:rsidR="008A02A0">
              <w:rPr>
                <w:sz w:val="20"/>
                <w:szCs w:val="20"/>
              </w:rPr>
              <w:t xml:space="preserve">confirm </w:t>
            </w:r>
            <w:r w:rsidR="00E04384">
              <w:rPr>
                <w:sz w:val="20"/>
                <w:szCs w:val="20"/>
              </w:rPr>
              <w:t>deliverables</w:t>
            </w:r>
          </w:p>
          <w:p w14:paraId="09881EA1" w14:textId="77777777" w:rsidR="00E04384" w:rsidRDefault="00E04384" w:rsidP="00E832BC">
            <w:pPr>
              <w:rPr>
                <w:sz w:val="20"/>
                <w:szCs w:val="20"/>
              </w:rPr>
            </w:pPr>
          </w:p>
          <w:p w14:paraId="4A93CE48" w14:textId="285E039C" w:rsidR="00E04384" w:rsidRDefault="00E04384" w:rsidP="00E832BC">
            <w:pPr>
              <w:rPr>
                <w:sz w:val="20"/>
                <w:szCs w:val="20"/>
              </w:rPr>
            </w:pPr>
            <w:r>
              <w:rPr>
                <w:sz w:val="20"/>
                <w:szCs w:val="20"/>
              </w:rPr>
              <w:t>Implementation</w:t>
            </w:r>
          </w:p>
          <w:p w14:paraId="0A462E39" w14:textId="7C5FFE22" w:rsidR="00A42D5B" w:rsidRPr="007031E7" w:rsidRDefault="00A42D5B" w:rsidP="00E832BC">
            <w:pPr>
              <w:rPr>
                <w:sz w:val="20"/>
                <w:szCs w:val="20"/>
              </w:rPr>
            </w:pPr>
          </w:p>
        </w:tc>
        <w:tc>
          <w:tcPr>
            <w:tcW w:w="0" w:type="auto"/>
          </w:tcPr>
          <w:p w14:paraId="2ED8C12B" w14:textId="77777777" w:rsidR="007031E7" w:rsidRDefault="00812ED6" w:rsidP="00E832BC">
            <w:pPr>
              <w:rPr>
                <w:sz w:val="20"/>
                <w:szCs w:val="20"/>
              </w:rPr>
            </w:pPr>
            <w:r>
              <w:rPr>
                <w:sz w:val="20"/>
                <w:szCs w:val="20"/>
              </w:rPr>
              <w:t>Cumbria Chamber</w:t>
            </w:r>
          </w:p>
          <w:p w14:paraId="1A70F9BE" w14:textId="77777777" w:rsidR="00E04384" w:rsidRDefault="00E04384" w:rsidP="00E832BC">
            <w:pPr>
              <w:rPr>
                <w:sz w:val="20"/>
                <w:szCs w:val="20"/>
              </w:rPr>
            </w:pPr>
          </w:p>
          <w:p w14:paraId="08BACAF1" w14:textId="77777777" w:rsidR="00E04384" w:rsidRDefault="00E04384" w:rsidP="00E832BC">
            <w:pPr>
              <w:rPr>
                <w:sz w:val="20"/>
                <w:szCs w:val="20"/>
              </w:rPr>
            </w:pPr>
          </w:p>
          <w:p w14:paraId="416805DE" w14:textId="41F48C26" w:rsidR="00E04384" w:rsidRPr="007031E7" w:rsidRDefault="00E04384" w:rsidP="00E832BC">
            <w:pPr>
              <w:rPr>
                <w:sz w:val="20"/>
                <w:szCs w:val="20"/>
              </w:rPr>
            </w:pPr>
          </w:p>
        </w:tc>
        <w:tc>
          <w:tcPr>
            <w:tcW w:w="0" w:type="auto"/>
          </w:tcPr>
          <w:p w14:paraId="4EB5E239" w14:textId="619786C5" w:rsidR="007031E7" w:rsidRPr="007031E7" w:rsidRDefault="00E47703" w:rsidP="00E832BC">
            <w:pPr>
              <w:rPr>
                <w:sz w:val="20"/>
                <w:szCs w:val="20"/>
              </w:rPr>
            </w:pPr>
            <w:r>
              <w:rPr>
                <w:sz w:val="20"/>
                <w:szCs w:val="20"/>
              </w:rPr>
              <w:t>Ca</w:t>
            </w:r>
          </w:p>
        </w:tc>
        <w:tc>
          <w:tcPr>
            <w:tcW w:w="0" w:type="auto"/>
          </w:tcPr>
          <w:p w14:paraId="6850DE88" w14:textId="77777777" w:rsidR="007031E7" w:rsidRDefault="004A1BC1" w:rsidP="00E832BC">
            <w:pPr>
              <w:rPr>
                <w:sz w:val="20"/>
                <w:szCs w:val="20"/>
              </w:rPr>
            </w:pPr>
            <w:r>
              <w:rPr>
                <w:sz w:val="20"/>
                <w:szCs w:val="20"/>
              </w:rPr>
              <w:t>Summer 2023</w:t>
            </w:r>
          </w:p>
          <w:p w14:paraId="53979934" w14:textId="77777777" w:rsidR="004A1BC1" w:rsidRDefault="004A1BC1" w:rsidP="00E832BC">
            <w:pPr>
              <w:rPr>
                <w:sz w:val="20"/>
                <w:szCs w:val="20"/>
              </w:rPr>
            </w:pPr>
          </w:p>
          <w:p w14:paraId="3717F258" w14:textId="77777777" w:rsidR="004A1BC1" w:rsidRDefault="004A1BC1" w:rsidP="00E832BC">
            <w:pPr>
              <w:rPr>
                <w:sz w:val="20"/>
                <w:szCs w:val="20"/>
              </w:rPr>
            </w:pPr>
          </w:p>
          <w:p w14:paraId="78304C3F" w14:textId="77777777" w:rsidR="004A1BC1" w:rsidRDefault="004A1BC1" w:rsidP="00E832BC">
            <w:pPr>
              <w:rPr>
                <w:sz w:val="20"/>
                <w:szCs w:val="20"/>
              </w:rPr>
            </w:pPr>
          </w:p>
          <w:p w14:paraId="76868EA9" w14:textId="77777777" w:rsidR="00F376AB" w:rsidRDefault="00F376AB" w:rsidP="00E832BC">
            <w:pPr>
              <w:rPr>
                <w:sz w:val="20"/>
                <w:szCs w:val="20"/>
              </w:rPr>
            </w:pPr>
          </w:p>
          <w:p w14:paraId="7DF72047" w14:textId="77777777" w:rsidR="004A1BC1" w:rsidRDefault="004A1BC1" w:rsidP="00E832BC">
            <w:pPr>
              <w:rPr>
                <w:sz w:val="20"/>
                <w:szCs w:val="20"/>
              </w:rPr>
            </w:pPr>
          </w:p>
          <w:p w14:paraId="0775A714" w14:textId="77777777" w:rsidR="003726F5" w:rsidRDefault="003726F5" w:rsidP="003726F5">
            <w:pPr>
              <w:rPr>
                <w:sz w:val="20"/>
                <w:szCs w:val="20"/>
              </w:rPr>
            </w:pPr>
            <w:r>
              <w:rPr>
                <w:sz w:val="20"/>
                <w:szCs w:val="20"/>
              </w:rPr>
              <w:t>Spring 2024</w:t>
            </w:r>
          </w:p>
          <w:p w14:paraId="2B2287BC" w14:textId="77777777" w:rsidR="004A1BC1" w:rsidRDefault="004A1BC1" w:rsidP="00E832BC">
            <w:pPr>
              <w:rPr>
                <w:sz w:val="20"/>
                <w:szCs w:val="20"/>
              </w:rPr>
            </w:pPr>
          </w:p>
          <w:p w14:paraId="22D57236" w14:textId="77777777" w:rsidR="004A1BC1" w:rsidRDefault="004A1BC1" w:rsidP="00E832BC">
            <w:pPr>
              <w:rPr>
                <w:sz w:val="20"/>
                <w:szCs w:val="20"/>
              </w:rPr>
            </w:pPr>
          </w:p>
          <w:p w14:paraId="32B496F9" w14:textId="0CD4295F" w:rsidR="004A1BC1" w:rsidRPr="007031E7" w:rsidRDefault="004A1BC1" w:rsidP="00E832BC">
            <w:pPr>
              <w:rPr>
                <w:sz w:val="20"/>
                <w:szCs w:val="20"/>
              </w:rPr>
            </w:pPr>
            <w:r>
              <w:rPr>
                <w:sz w:val="20"/>
                <w:szCs w:val="20"/>
              </w:rPr>
              <w:t>Summer 2024</w:t>
            </w:r>
          </w:p>
        </w:tc>
        <w:tc>
          <w:tcPr>
            <w:tcW w:w="0" w:type="auto"/>
          </w:tcPr>
          <w:p w14:paraId="5510A85F" w14:textId="77777777" w:rsidR="007031E7" w:rsidRPr="007031E7" w:rsidRDefault="007031E7" w:rsidP="00E832BC">
            <w:pPr>
              <w:rPr>
                <w:sz w:val="20"/>
                <w:szCs w:val="20"/>
              </w:rPr>
            </w:pPr>
          </w:p>
        </w:tc>
      </w:tr>
      <w:tr w:rsidR="00CD77F0" w:rsidRPr="007031E7" w14:paraId="0EAB28DD" w14:textId="77777777" w:rsidTr="00EA120E">
        <w:tc>
          <w:tcPr>
            <w:tcW w:w="0" w:type="auto"/>
          </w:tcPr>
          <w:p w14:paraId="4CEC3570" w14:textId="539A44D4" w:rsidR="007031E7" w:rsidRPr="007031E7" w:rsidRDefault="009C3520" w:rsidP="00E832BC">
            <w:pPr>
              <w:rPr>
                <w:sz w:val="20"/>
                <w:szCs w:val="20"/>
              </w:rPr>
            </w:pPr>
            <w:r>
              <w:rPr>
                <w:sz w:val="20"/>
                <w:szCs w:val="20"/>
              </w:rPr>
              <w:t xml:space="preserve">Development of </w:t>
            </w:r>
            <w:r w:rsidR="006D53FE">
              <w:rPr>
                <w:sz w:val="20"/>
                <w:szCs w:val="20"/>
              </w:rPr>
              <w:t>a clean energy employer group</w:t>
            </w:r>
            <w:r>
              <w:rPr>
                <w:sz w:val="20"/>
                <w:szCs w:val="20"/>
              </w:rPr>
              <w:t xml:space="preserve"> into a network driving the growth of clean energy</w:t>
            </w:r>
            <w:r w:rsidR="00F376AB">
              <w:rPr>
                <w:sz w:val="20"/>
                <w:szCs w:val="20"/>
              </w:rPr>
              <w:t>, including in relation to its skills needs</w:t>
            </w:r>
          </w:p>
        </w:tc>
        <w:tc>
          <w:tcPr>
            <w:tcW w:w="0" w:type="auto"/>
          </w:tcPr>
          <w:p w14:paraId="36911924" w14:textId="00A53B22" w:rsidR="007031E7" w:rsidRDefault="00261E8B" w:rsidP="00E832BC">
            <w:pPr>
              <w:rPr>
                <w:sz w:val="20"/>
                <w:szCs w:val="20"/>
              </w:rPr>
            </w:pPr>
            <w:r>
              <w:rPr>
                <w:sz w:val="20"/>
                <w:szCs w:val="20"/>
              </w:rPr>
              <w:t xml:space="preserve">Draft proposal for </w:t>
            </w:r>
            <w:r w:rsidR="00F376AB">
              <w:rPr>
                <w:sz w:val="20"/>
                <w:szCs w:val="20"/>
              </w:rPr>
              <w:t>revamping the panel</w:t>
            </w:r>
            <w:r>
              <w:rPr>
                <w:sz w:val="20"/>
                <w:szCs w:val="20"/>
              </w:rPr>
              <w:t xml:space="preserve"> – purpose, membership, operations. Identify chair/lead employer</w:t>
            </w:r>
          </w:p>
          <w:p w14:paraId="4394597C" w14:textId="77777777" w:rsidR="00261E8B" w:rsidRDefault="00261E8B" w:rsidP="00E832BC">
            <w:pPr>
              <w:rPr>
                <w:sz w:val="20"/>
                <w:szCs w:val="20"/>
              </w:rPr>
            </w:pPr>
          </w:p>
          <w:p w14:paraId="62A4B7AA" w14:textId="42E6B85E" w:rsidR="00261E8B" w:rsidRDefault="00261E8B" w:rsidP="00E832BC">
            <w:pPr>
              <w:rPr>
                <w:sz w:val="20"/>
                <w:szCs w:val="20"/>
              </w:rPr>
            </w:pPr>
            <w:r>
              <w:rPr>
                <w:sz w:val="20"/>
                <w:szCs w:val="20"/>
              </w:rPr>
              <w:t>Consult on proposal and refine following feedback</w:t>
            </w:r>
            <w:r w:rsidR="004A1BC1">
              <w:rPr>
                <w:sz w:val="20"/>
                <w:szCs w:val="20"/>
              </w:rPr>
              <w:t xml:space="preserve">, including </w:t>
            </w:r>
            <w:r w:rsidR="00BD3A3B">
              <w:rPr>
                <w:sz w:val="20"/>
                <w:szCs w:val="20"/>
              </w:rPr>
              <w:t>work programme</w:t>
            </w:r>
          </w:p>
          <w:p w14:paraId="413DA4D4" w14:textId="77777777" w:rsidR="00261E8B" w:rsidRDefault="00261E8B" w:rsidP="00E832BC">
            <w:pPr>
              <w:rPr>
                <w:sz w:val="20"/>
                <w:szCs w:val="20"/>
              </w:rPr>
            </w:pPr>
          </w:p>
          <w:p w14:paraId="72012581" w14:textId="5B18728B" w:rsidR="00261E8B" w:rsidRDefault="004A1BC1" w:rsidP="00E832BC">
            <w:pPr>
              <w:rPr>
                <w:sz w:val="20"/>
                <w:szCs w:val="20"/>
              </w:rPr>
            </w:pPr>
            <w:r>
              <w:rPr>
                <w:sz w:val="20"/>
                <w:szCs w:val="20"/>
              </w:rPr>
              <w:t>Implementation and annual review</w:t>
            </w:r>
          </w:p>
          <w:p w14:paraId="1CCADFDC" w14:textId="320445B9" w:rsidR="00261E8B" w:rsidRPr="007031E7" w:rsidRDefault="00261E8B" w:rsidP="00E832BC">
            <w:pPr>
              <w:rPr>
                <w:sz w:val="20"/>
                <w:szCs w:val="20"/>
              </w:rPr>
            </w:pPr>
          </w:p>
        </w:tc>
        <w:tc>
          <w:tcPr>
            <w:tcW w:w="0" w:type="auto"/>
          </w:tcPr>
          <w:p w14:paraId="7DD04A7B" w14:textId="72546818" w:rsidR="00261E8B" w:rsidRDefault="005C4191" w:rsidP="00E832BC">
            <w:pPr>
              <w:rPr>
                <w:sz w:val="20"/>
                <w:szCs w:val="20"/>
              </w:rPr>
            </w:pPr>
            <w:r>
              <w:rPr>
                <w:sz w:val="20"/>
                <w:szCs w:val="20"/>
              </w:rPr>
              <w:t>Chamber</w:t>
            </w:r>
          </w:p>
          <w:p w14:paraId="2009D562" w14:textId="77777777" w:rsidR="00F376AB" w:rsidRDefault="00F376AB" w:rsidP="00E832BC">
            <w:pPr>
              <w:rPr>
                <w:sz w:val="20"/>
                <w:szCs w:val="20"/>
              </w:rPr>
            </w:pPr>
          </w:p>
          <w:p w14:paraId="2DFAAA0E" w14:textId="75384C02" w:rsidR="00261E8B" w:rsidRPr="007031E7" w:rsidRDefault="00261E8B" w:rsidP="00E832BC">
            <w:pPr>
              <w:rPr>
                <w:sz w:val="20"/>
                <w:szCs w:val="20"/>
              </w:rPr>
            </w:pPr>
            <w:r>
              <w:rPr>
                <w:sz w:val="20"/>
                <w:szCs w:val="20"/>
              </w:rPr>
              <w:t>Employers</w:t>
            </w:r>
          </w:p>
        </w:tc>
        <w:tc>
          <w:tcPr>
            <w:tcW w:w="0" w:type="auto"/>
          </w:tcPr>
          <w:p w14:paraId="045A983B" w14:textId="77777777" w:rsidR="007031E7" w:rsidRPr="007031E7" w:rsidRDefault="007031E7" w:rsidP="00E832BC">
            <w:pPr>
              <w:rPr>
                <w:sz w:val="20"/>
                <w:szCs w:val="20"/>
              </w:rPr>
            </w:pPr>
          </w:p>
        </w:tc>
        <w:tc>
          <w:tcPr>
            <w:tcW w:w="0" w:type="auto"/>
          </w:tcPr>
          <w:p w14:paraId="41568277" w14:textId="77777777" w:rsidR="007031E7" w:rsidRDefault="003726F5" w:rsidP="00E832BC">
            <w:pPr>
              <w:rPr>
                <w:sz w:val="20"/>
                <w:szCs w:val="20"/>
              </w:rPr>
            </w:pPr>
            <w:r>
              <w:rPr>
                <w:sz w:val="20"/>
                <w:szCs w:val="20"/>
              </w:rPr>
              <w:t>Summer 2023</w:t>
            </w:r>
          </w:p>
          <w:p w14:paraId="2AC7B837" w14:textId="77777777" w:rsidR="003726F5" w:rsidRDefault="003726F5" w:rsidP="00E832BC">
            <w:pPr>
              <w:rPr>
                <w:sz w:val="20"/>
                <w:szCs w:val="20"/>
              </w:rPr>
            </w:pPr>
          </w:p>
          <w:p w14:paraId="61BC816E" w14:textId="77777777" w:rsidR="003726F5" w:rsidRDefault="003726F5" w:rsidP="00E832BC">
            <w:pPr>
              <w:rPr>
                <w:sz w:val="20"/>
                <w:szCs w:val="20"/>
              </w:rPr>
            </w:pPr>
          </w:p>
          <w:p w14:paraId="784DA185" w14:textId="77777777" w:rsidR="003726F5" w:rsidRDefault="003726F5" w:rsidP="00E832BC">
            <w:pPr>
              <w:rPr>
                <w:sz w:val="20"/>
                <w:szCs w:val="20"/>
              </w:rPr>
            </w:pPr>
          </w:p>
          <w:p w14:paraId="3A787EE1" w14:textId="77777777" w:rsidR="003726F5" w:rsidRDefault="003726F5" w:rsidP="00E832BC">
            <w:pPr>
              <w:rPr>
                <w:sz w:val="20"/>
                <w:szCs w:val="20"/>
              </w:rPr>
            </w:pPr>
          </w:p>
          <w:p w14:paraId="228ECB4E" w14:textId="392BBA45" w:rsidR="003726F5" w:rsidRPr="007031E7" w:rsidRDefault="003726F5" w:rsidP="00E832BC">
            <w:pPr>
              <w:rPr>
                <w:sz w:val="20"/>
                <w:szCs w:val="20"/>
              </w:rPr>
            </w:pPr>
            <w:r>
              <w:rPr>
                <w:sz w:val="20"/>
                <w:szCs w:val="20"/>
              </w:rPr>
              <w:t>Autumn 2023</w:t>
            </w:r>
          </w:p>
        </w:tc>
        <w:tc>
          <w:tcPr>
            <w:tcW w:w="0" w:type="auto"/>
          </w:tcPr>
          <w:p w14:paraId="5B1A27D5" w14:textId="77777777" w:rsidR="007031E7" w:rsidRPr="007031E7" w:rsidRDefault="007031E7" w:rsidP="00E832BC">
            <w:pPr>
              <w:rPr>
                <w:sz w:val="20"/>
                <w:szCs w:val="20"/>
              </w:rPr>
            </w:pPr>
          </w:p>
        </w:tc>
      </w:tr>
      <w:tr w:rsidR="00CD77F0" w:rsidRPr="007031E7" w14:paraId="1BDB7BD0" w14:textId="77777777" w:rsidTr="00EA120E">
        <w:tc>
          <w:tcPr>
            <w:tcW w:w="0" w:type="auto"/>
          </w:tcPr>
          <w:p w14:paraId="574B673F" w14:textId="4FB24A34" w:rsidR="007031E7" w:rsidRPr="007031E7" w:rsidRDefault="00E47703" w:rsidP="00E832BC">
            <w:pPr>
              <w:rPr>
                <w:sz w:val="20"/>
                <w:szCs w:val="20"/>
              </w:rPr>
            </w:pPr>
            <w:r>
              <w:rPr>
                <w:sz w:val="20"/>
                <w:szCs w:val="20"/>
              </w:rPr>
              <w:t>Enhance careers information advice and guidance activity to increase the number of local people seeking careers in the clean energy sector</w:t>
            </w:r>
            <w:r w:rsidR="003726F5">
              <w:rPr>
                <w:sz w:val="20"/>
                <w:szCs w:val="20"/>
              </w:rPr>
              <w:t xml:space="preserve"> via the Careers Hub</w:t>
            </w:r>
          </w:p>
        </w:tc>
        <w:tc>
          <w:tcPr>
            <w:tcW w:w="0" w:type="auto"/>
          </w:tcPr>
          <w:p w14:paraId="02C4C83D" w14:textId="018D4535" w:rsidR="007031E7" w:rsidRPr="007031E7" w:rsidRDefault="00804CD4" w:rsidP="00E832BC">
            <w:pPr>
              <w:rPr>
                <w:sz w:val="20"/>
                <w:szCs w:val="20"/>
              </w:rPr>
            </w:pPr>
            <w:r>
              <w:rPr>
                <w:sz w:val="20"/>
                <w:szCs w:val="20"/>
              </w:rPr>
              <w:t>Chamber to w</w:t>
            </w:r>
            <w:r w:rsidR="003726F5">
              <w:rPr>
                <w:sz w:val="20"/>
                <w:szCs w:val="20"/>
              </w:rPr>
              <w:t xml:space="preserve">ork with </w:t>
            </w:r>
            <w:r>
              <w:rPr>
                <w:sz w:val="20"/>
                <w:szCs w:val="20"/>
              </w:rPr>
              <w:t xml:space="preserve">clean energy </w:t>
            </w:r>
            <w:r w:rsidR="003726F5">
              <w:rPr>
                <w:sz w:val="20"/>
                <w:szCs w:val="20"/>
              </w:rPr>
              <w:t xml:space="preserve">employers to develop a programme of activity </w:t>
            </w:r>
            <w:r w:rsidR="0042078D">
              <w:rPr>
                <w:sz w:val="20"/>
                <w:szCs w:val="20"/>
              </w:rPr>
              <w:t>to stimulate demand for energy careers in primary, secondary and post-16 settings</w:t>
            </w:r>
          </w:p>
        </w:tc>
        <w:tc>
          <w:tcPr>
            <w:tcW w:w="0" w:type="auto"/>
          </w:tcPr>
          <w:p w14:paraId="1E9498AE" w14:textId="77777777" w:rsidR="007031E7" w:rsidRDefault="0042078D" w:rsidP="00E832BC">
            <w:pPr>
              <w:rPr>
                <w:sz w:val="20"/>
                <w:szCs w:val="20"/>
              </w:rPr>
            </w:pPr>
            <w:r>
              <w:rPr>
                <w:sz w:val="20"/>
                <w:szCs w:val="20"/>
              </w:rPr>
              <w:t>Chamber</w:t>
            </w:r>
          </w:p>
          <w:p w14:paraId="59AF6A29" w14:textId="77777777" w:rsidR="0042078D" w:rsidRDefault="0042078D" w:rsidP="00E832BC">
            <w:pPr>
              <w:rPr>
                <w:sz w:val="20"/>
                <w:szCs w:val="20"/>
              </w:rPr>
            </w:pPr>
          </w:p>
          <w:p w14:paraId="2F86F146" w14:textId="77777777" w:rsidR="0042078D" w:rsidRDefault="0042078D" w:rsidP="00E832BC">
            <w:pPr>
              <w:rPr>
                <w:sz w:val="20"/>
                <w:szCs w:val="20"/>
              </w:rPr>
            </w:pPr>
            <w:r>
              <w:rPr>
                <w:sz w:val="20"/>
                <w:szCs w:val="20"/>
              </w:rPr>
              <w:t>Cumbria LEP (skills hub)</w:t>
            </w:r>
          </w:p>
          <w:p w14:paraId="286D6779" w14:textId="77777777" w:rsidR="0042078D" w:rsidRDefault="0042078D" w:rsidP="00E832BC">
            <w:pPr>
              <w:rPr>
                <w:sz w:val="20"/>
                <w:szCs w:val="20"/>
              </w:rPr>
            </w:pPr>
          </w:p>
          <w:p w14:paraId="5242724C" w14:textId="614A86E4" w:rsidR="0042078D" w:rsidRPr="007031E7" w:rsidRDefault="005C4191" w:rsidP="00E832BC">
            <w:pPr>
              <w:rPr>
                <w:sz w:val="20"/>
                <w:szCs w:val="20"/>
              </w:rPr>
            </w:pPr>
            <w:r>
              <w:rPr>
                <w:sz w:val="20"/>
                <w:szCs w:val="20"/>
              </w:rPr>
              <w:t>Clean energy employers</w:t>
            </w:r>
          </w:p>
        </w:tc>
        <w:tc>
          <w:tcPr>
            <w:tcW w:w="0" w:type="auto"/>
          </w:tcPr>
          <w:p w14:paraId="5A27B8E8" w14:textId="77777777" w:rsidR="007031E7" w:rsidRPr="007031E7" w:rsidRDefault="007031E7" w:rsidP="00E832BC">
            <w:pPr>
              <w:rPr>
                <w:sz w:val="20"/>
                <w:szCs w:val="20"/>
              </w:rPr>
            </w:pPr>
          </w:p>
        </w:tc>
        <w:tc>
          <w:tcPr>
            <w:tcW w:w="0" w:type="auto"/>
          </w:tcPr>
          <w:p w14:paraId="40ED9152" w14:textId="77777777" w:rsidR="007031E7" w:rsidRPr="007031E7" w:rsidRDefault="007031E7" w:rsidP="00E832BC">
            <w:pPr>
              <w:rPr>
                <w:sz w:val="20"/>
                <w:szCs w:val="20"/>
              </w:rPr>
            </w:pPr>
          </w:p>
        </w:tc>
        <w:tc>
          <w:tcPr>
            <w:tcW w:w="0" w:type="auto"/>
          </w:tcPr>
          <w:p w14:paraId="74ECC5FC" w14:textId="77777777" w:rsidR="007031E7" w:rsidRPr="007031E7" w:rsidRDefault="007031E7" w:rsidP="00E832BC">
            <w:pPr>
              <w:rPr>
                <w:sz w:val="20"/>
                <w:szCs w:val="20"/>
              </w:rPr>
            </w:pPr>
          </w:p>
        </w:tc>
      </w:tr>
      <w:tr w:rsidR="00CD77F0" w:rsidRPr="007031E7" w14:paraId="53ED30DF" w14:textId="77777777" w:rsidTr="00EA120E">
        <w:tc>
          <w:tcPr>
            <w:tcW w:w="0" w:type="auto"/>
          </w:tcPr>
          <w:p w14:paraId="4E2999F4" w14:textId="2B0A0C5B" w:rsidR="007031E7" w:rsidRPr="007031E7" w:rsidRDefault="00CD77F0" w:rsidP="00E832BC">
            <w:pPr>
              <w:rPr>
                <w:sz w:val="20"/>
                <w:szCs w:val="20"/>
              </w:rPr>
            </w:pPr>
            <w:r>
              <w:rPr>
                <w:sz w:val="20"/>
                <w:szCs w:val="20"/>
              </w:rPr>
              <w:t xml:space="preserve">Establish a provider working group to set out a vision and strategy for the delivery of education and training in support of clean energy. The aim is to move beyond transactional employer relationships locally, and to extend the reach and influence of Cumbria’s training providers and colleges to the national stage in support of new clean energy technologies. </w:t>
            </w:r>
          </w:p>
        </w:tc>
        <w:tc>
          <w:tcPr>
            <w:tcW w:w="0" w:type="auto"/>
          </w:tcPr>
          <w:p w14:paraId="243DE7F5" w14:textId="77777777" w:rsidR="007031E7" w:rsidRDefault="00802A07" w:rsidP="00E832BC">
            <w:pPr>
              <w:rPr>
                <w:sz w:val="20"/>
                <w:szCs w:val="20"/>
              </w:rPr>
            </w:pPr>
            <w:r>
              <w:rPr>
                <w:sz w:val="20"/>
                <w:szCs w:val="20"/>
              </w:rPr>
              <w:t xml:space="preserve">Draft a discussion document for consideration by colleges, Gen2, University and gather feedback. </w:t>
            </w:r>
          </w:p>
          <w:p w14:paraId="552D47BF" w14:textId="77777777" w:rsidR="00802A07" w:rsidRDefault="00802A07" w:rsidP="00E832BC">
            <w:pPr>
              <w:rPr>
                <w:sz w:val="20"/>
                <w:szCs w:val="20"/>
              </w:rPr>
            </w:pPr>
          </w:p>
          <w:p w14:paraId="1691C13C" w14:textId="77777777" w:rsidR="00802A07" w:rsidRDefault="00802A07" w:rsidP="00E832BC">
            <w:pPr>
              <w:rPr>
                <w:sz w:val="20"/>
                <w:szCs w:val="20"/>
              </w:rPr>
            </w:pPr>
            <w:r>
              <w:rPr>
                <w:sz w:val="20"/>
                <w:szCs w:val="20"/>
              </w:rPr>
              <w:t xml:space="preserve">Hold first meeting of </w:t>
            </w:r>
            <w:r w:rsidR="00F0778B">
              <w:rPr>
                <w:sz w:val="20"/>
                <w:szCs w:val="20"/>
              </w:rPr>
              <w:t>clean energy provider network</w:t>
            </w:r>
          </w:p>
          <w:p w14:paraId="0190128A" w14:textId="77777777" w:rsidR="000115CD" w:rsidRDefault="000115CD" w:rsidP="00E832BC">
            <w:pPr>
              <w:rPr>
                <w:sz w:val="20"/>
                <w:szCs w:val="20"/>
              </w:rPr>
            </w:pPr>
          </w:p>
          <w:p w14:paraId="0AC695F9" w14:textId="77777777" w:rsidR="000115CD" w:rsidRDefault="000115CD" w:rsidP="00E832BC">
            <w:pPr>
              <w:rPr>
                <w:sz w:val="20"/>
                <w:szCs w:val="20"/>
              </w:rPr>
            </w:pPr>
            <w:r>
              <w:rPr>
                <w:sz w:val="20"/>
                <w:szCs w:val="20"/>
              </w:rPr>
              <w:t>Draft vision and strategy, in consultation with employers</w:t>
            </w:r>
            <w:r w:rsidR="00D7371D">
              <w:rPr>
                <w:sz w:val="20"/>
                <w:szCs w:val="20"/>
              </w:rPr>
              <w:t>, reflecting on clean energy strategy for Cumbria</w:t>
            </w:r>
          </w:p>
          <w:p w14:paraId="289F5522" w14:textId="77777777" w:rsidR="00D7371D" w:rsidRDefault="00D7371D" w:rsidP="00E832BC">
            <w:pPr>
              <w:rPr>
                <w:sz w:val="20"/>
                <w:szCs w:val="20"/>
              </w:rPr>
            </w:pPr>
          </w:p>
          <w:p w14:paraId="2D03F2BE" w14:textId="0C01CF77" w:rsidR="00D7371D" w:rsidRPr="007031E7" w:rsidRDefault="00D7371D" w:rsidP="00E832BC">
            <w:pPr>
              <w:rPr>
                <w:sz w:val="20"/>
                <w:szCs w:val="20"/>
              </w:rPr>
            </w:pPr>
            <w:r>
              <w:rPr>
                <w:sz w:val="20"/>
                <w:szCs w:val="20"/>
              </w:rPr>
              <w:t>Implementation and monitoring</w:t>
            </w:r>
          </w:p>
        </w:tc>
        <w:tc>
          <w:tcPr>
            <w:tcW w:w="0" w:type="auto"/>
          </w:tcPr>
          <w:p w14:paraId="330515B5" w14:textId="77777777" w:rsidR="007031E7" w:rsidRDefault="000115CD" w:rsidP="00E832BC">
            <w:pPr>
              <w:rPr>
                <w:sz w:val="20"/>
                <w:szCs w:val="20"/>
              </w:rPr>
            </w:pPr>
            <w:r>
              <w:rPr>
                <w:sz w:val="20"/>
                <w:szCs w:val="20"/>
              </w:rPr>
              <w:t>Providers</w:t>
            </w:r>
          </w:p>
          <w:p w14:paraId="5DDEFBC6" w14:textId="77777777" w:rsidR="000115CD" w:rsidRDefault="000115CD" w:rsidP="00E832BC">
            <w:pPr>
              <w:rPr>
                <w:sz w:val="20"/>
                <w:szCs w:val="20"/>
              </w:rPr>
            </w:pPr>
          </w:p>
          <w:p w14:paraId="735D8EDB" w14:textId="77777777" w:rsidR="000115CD" w:rsidRDefault="000115CD" w:rsidP="00E832BC">
            <w:pPr>
              <w:rPr>
                <w:sz w:val="20"/>
                <w:szCs w:val="20"/>
              </w:rPr>
            </w:pPr>
            <w:r>
              <w:rPr>
                <w:sz w:val="20"/>
                <w:szCs w:val="20"/>
              </w:rPr>
              <w:t>Chamber</w:t>
            </w:r>
          </w:p>
          <w:p w14:paraId="5F2B20A7" w14:textId="77777777" w:rsidR="000115CD" w:rsidRDefault="000115CD" w:rsidP="00E832BC">
            <w:pPr>
              <w:rPr>
                <w:sz w:val="20"/>
                <w:szCs w:val="20"/>
              </w:rPr>
            </w:pPr>
          </w:p>
          <w:p w14:paraId="0B843958" w14:textId="195AA966" w:rsidR="000115CD" w:rsidRPr="007031E7" w:rsidRDefault="000115CD" w:rsidP="00E832BC">
            <w:pPr>
              <w:rPr>
                <w:sz w:val="20"/>
                <w:szCs w:val="20"/>
              </w:rPr>
            </w:pPr>
            <w:r>
              <w:rPr>
                <w:sz w:val="20"/>
                <w:szCs w:val="20"/>
              </w:rPr>
              <w:t>Employers</w:t>
            </w:r>
          </w:p>
        </w:tc>
        <w:tc>
          <w:tcPr>
            <w:tcW w:w="0" w:type="auto"/>
          </w:tcPr>
          <w:p w14:paraId="6A98A208" w14:textId="77777777" w:rsidR="007031E7" w:rsidRPr="007031E7" w:rsidRDefault="007031E7" w:rsidP="00E832BC">
            <w:pPr>
              <w:rPr>
                <w:sz w:val="20"/>
                <w:szCs w:val="20"/>
              </w:rPr>
            </w:pPr>
          </w:p>
        </w:tc>
        <w:tc>
          <w:tcPr>
            <w:tcW w:w="0" w:type="auto"/>
          </w:tcPr>
          <w:p w14:paraId="76F9D6A7" w14:textId="77777777" w:rsidR="007031E7" w:rsidRDefault="00D7371D" w:rsidP="00E832BC">
            <w:pPr>
              <w:rPr>
                <w:sz w:val="20"/>
                <w:szCs w:val="20"/>
              </w:rPr>
            </w:pPr>
            <w:r>
              <w:rPr>
                <w:sz w:val="20"/>
                <w:szCs w:val="20"/>
              </w:rPr>
              <w:t>Summer 2023</w:t>
            </w:r>
          </w:p>
          <w:p w14:paraId="203DDC79" w14:textId="77777777" w:rsidR="00D7371D" w:rsidRDefault="00D7371D" w:rsidP="00E832BC">
            <w:pPr>
              <w:rPr>
                <w:sz w:val="20"/>
                <w:szCs w:val="20"/>
              </w:rPr>
            </w:pPr>
          </w:p>
          <w:p w14:paraId="2BACD150" w14:textId="77777777" w:rsidR="00D7371D" w:rsidRDefault="00D7371D" w:rsidP="00E832BC">
            <w:pPr>
              <w:rPr>
                <w:sz w:val="20"/>
                <w:szCs w:val="20"/>
              </w:rPr>
            </w:pPr>
          </w:p>
          <w:p w14:paraId="6E8AD3C0" w14:textId="77777777" w:rsidR="00D7371D" w:rsidRDefault="00D7371D" w:rsidP="00E832BC">
            <w:pPr>
              <w:rPr>
                <w:sz w:val="20"/>
                <w:szCs w:val="20"/>
              </w:rPr>
            </w:pPr>
            <w:r>
              <w:rPr>
                <w:sz w:val="20"/>
                <w:szCs w:val="20"/>
              </w:rPr>
              <w:t>Autumn 2023</w:t>
            </w:r>
          </w:p>
          <w:p w14:paraId="5E6BEC1D" w14:textId="77777777" w:rsidR="00D7371D" w:rsidRDefault="00D7371D" w:rsidP="00E832BC">
            <w:pPr>
              <w:rPr>
                <w:sz w:val="20"/>
                <w:szCs w:val="20"/>
              </w:rPr>
            </w:pPr>
          </w:p>
          <w:p w14:paraId="7C8D0E87" w14:textId="07D69F9D" w:rsidR="00D7371D" w:rsidRPr="007031E7" w:rsidRDefault="00D7371D" w:rsidP="00E832BC">
            <w:pPr>
              <w:rPr>
                <w:sz w:val="20"/>
                <w:szCs w:val="20"/>
              </w:rPr>
            </w:pPr>
            <w:r>
              <w:rPr>
                <w:sz w:val="20"/>
                <w:szCs w:val="20"/>
              </w:rPr>
              <w:t>Winter 2023/24</w:t>
            </w:r>
          </w:p>
        </w:tc>
        <w:tc>
          <w:tcPr>
            <w:tcW w:w="0" w:type="auto"/>
          </w:tcPr>
          <w:p w14:paraId="4A735A63" w14:textId="77777777" w:rsidR="007031E7" w:rsidRPr="007031E7" w:rsidRDefault="007031E7" w:rsidP="00E832BC">
            <w:pPr>
              <w:rPr>
                <w:sz w:val="20"/>
                <w:szCs w:val="20"/>
              </w:rPr>
            </w:pPr>
          </w:p>
        </w:tc>
      </w:tr>
      <w:tr w:rsidR="00CD77F0" w:rsidRPr="007031E7" w14:paraId="631122CB" w14:textId="77777777" w:rsidTr="00EA120E">
        <w:tc>
          <w:tcPr>
            <w:tcW w:w="0" w:type="auto"/>
          </w:tcPr>
          <w:p w14:paraId="4D78AC75" w14:textId="097831CE" w:rsidR="007031E7" w:rsidRPr="007031E7" w:rsidRDefault="00B61513" w:rsidP="00E832BC">
            <w:pPr>
              <w:rPr>
                <w:sz w:val="20"/>
                <w:szCs w:val="20"/>
              </w:rPr>
            </w:pPr>
            <w:r>
              <w:rPr>
                <w:sz w:val="20"/>
                <w:szCs w:val="20"/>
              </w:rPr>
              <w:t xml:space="preserve">Work with the two new unitary authorities to ensure that all staff in roles that will work with clean energy developments have the knowledge and skills required to support the growth of the sector in Cumbria. </w:t>
            </w:r>
          </w:p>
        </w:tc>
        <w:tc>
          <w:tcPr>
            <w:tcW w:w="0" w:type="auto"/>
          </w:tcPr>
          <w:p w14:paraId="733F9FE5" w14:textId="119F6F73" w:rsidR="007031E7" w:rsidRDefault="00DF0818" w:rsidP="00E832BC">
            <w:pPr>
              <w:rPr>
                <w:sz w:val="20"/>
                <w:szCs w:val="20"/>
              </w:rPr>
            </w:pPr>
            <w:r>
              <w:rPr>
                <w:sz w:val="20"/>
                <w:szCs w:val="20"/>
              </w:rPr>
              <w:t xml:space="preserve">Initial engagement via </w:t>
            </w:r>
            <w:r w:rsidR="005C4191">
              <w:rPr>
                <w:sz w:val="20"/>
                <w:szCs w:val="20"/>
              </w:rPr>
              <w:t>clean energy employer group</w:t>
            </w:r>
          </w:p>
          <w:p w14:paraId="15397494" w14:textId="77777777" w:rsidR="00DF0818" w:rsidRDefault="00DF0818" w:rsidP="00E832BC">
            <w:pPr>
              <w:rPr>
                <w:sz w:val="20"/>
                <w:szCs w:val="20"/>
              </w:rPr>
            </w:pPr>
          </w:p>
          <w:p w14:paraId="297CEF5A" w14:textId="066E2942" w:rsidR="00DF0818" w:rsidRPr="007031E7" w:rsidRDefault="00DF0818" w:rsidP="00E832BC">
            <w:pPr>
              <w:rPr>
                <w:sz w:val="20"/>
                <w:szCs w:val="20"/>
              </w:rPr>
            </w:pPr>
            <w:r>
              <w:rPr>
                <w:sz w:val="20"/>
                <w:szCs w:val="20"/>
              </w:rPr>
              <w:t xml:space="preserve">Develop and deliver a programme of briefings </w:t>
            </w:r>
            <w:r w:rsidR="00B42B28">
              <w:rPr>
                <w:sz w:val="20"/>
                <w:szCs w:val="20"/>
              </w:rPr>
              <w:t>and engagement</w:t>
            </w:r>
            <w:r w:rsidR="00D30D08">
              <w:rPr>
                <w:sz w:val="20"/>
                <w:szCs w:val="20"/>
              </w:rPr>
              <w:t>, including site visits and regular meetings</w:t>
            </w:r>
            <w:r>
              <w:rPr>
                <w:sz w:val="20"/>
                <w:szCs w:val="20"/>
              </w:rPr>
              <w:t xml:space="preserve">. </w:t>
            </w:r>
          </w:p>
        </w:tc>
        <w:tc>
          <w:tcPr>
            <w:tcW w:w="0" w:type="auto"/>
          </w:tcPr>
          <w:p w14:paraId="38F72A49" w14:textId="77777777" w:rsidR="007031E7" w:rsidRPr="007031E7" w:rsidRDefault="007031E7" w:rsidP="00E832BC">
            <w:pPr>
              <w:rPr>
                <w:sz w:val="20"/>
                <w:szCs w:val="20"/>
              </w:rPr>
            </w:pPr>
          </w:p>
        </w:tc>
        <w:tc>
          <w:tcPr>
            <w:tcW w:w="0" w:type="auto"/>
          </w:tcPr>
          <w:p w14:paraId="7D1DFD25" w14:textId="77777777" w:rsidR="007031E7" w:rsidRPr="007031E7" w:rsidRDefault="007031E7" w:rsidP="00E832BC">
            <w:pPr>
              <w:rPr>
                <w:sz w:val="20"/>
                <w:szCs w:val="20"/>
              </w:rPr>
            </w:pPr>
          </w:p>
        </w:tc>
        <w:tc>
          <w:tcPr>
            <w:tcW w:w="0" w:type="auto"/>
          </w:tcPr>
          <w:p w14:paraId="0285715A" w14:textId="77777777" w:rsidR="007031E7" w:rsidRPr="007031E7" w:rsidRDefault="007031E7" w:rsidP="00E832BC">
            <w:pPr>
              <w:rPr>
                <w:sz w:val="20"/>
                <w:szCs w:val="20"/>
              </w:rPr>
            </w:pPr>
          </w:p>
        </w:tc>
        <w:tc>
          <w:tcPr>
            <w:tcW w:w="0" w:type="auto"/>
          </w:tcPr>
          <w:p w14:paraId="545A3561" w14:textId="77777777" w:rsidR="007031E7" w:rsidRPr="007031E7" w:rsidRDefault="007031E7" w:rsidP="00E832BC">
            <w:pPr>
              <w:rPr>
                <w:sz w:val="20"/>
                <w:szCs w:val="20"/>
              </w:rPr>
            </w:pPr>
          </w:p>
        </w:tc>
      </w:tr>
    </w:tbl>
    <w:p w14:paraId="4ADEBEEB" w14:textId="77777777" w:rsidR="00FA6373" w:rsidRDefault="00FA6373" w:rsidP="00E832BC"/>
    <w:p w14:paraId="08A1EC00" w14:textId="154F096D" w:rsidR="00933B01" w:rsidRDefault="00933B01" w:rsidP="00933B01"/>
    <w:p w14:paraId="1F4BFBBE" w14:textId="77777777" w:rsidR="00933B01" w:rsidRDefault="00933B01" w:rsidP="00933B01"/>
    <w:p w14:paraId="341D358C" w14:textId="77777777" w:rsidR="009355B0" w:rsidRDefault="009355B0" w:rsidP="009355B0"/>
    <w:p w14:paraId="62363F67" w14:textId="77777777" w:rsidR="00DA5AA3" w:rsidRDefault="00DA5AA3"/>
    <w:sectPr w:rsidR="00DA5AA3" w:rsidSect="00FC214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45DE" w14:textId="77777777" w:rsidR="00FC2142" w:rsidRDefault="00FC2142" w:rsidP="00F825CD">
      <w:pPr>
        <w:spacing w:after="0" w:line="240" w:lineRule="auto"/>
      </w:pPr>
      <w:r>
        <w:separator/>
      </w:r>
    </w:p>
  </w:endnote>
  <w:endnote w:type="continuationSeparator" w:id="0">
    <w:p w14:paraId="66FDE89E" w14:textId="77777777" w:rsidR="00FC2142" w:rsidRDefault="00FC2142" w:rsidP="00F8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371568"/>
      <w:docPartObj>
        <w:docPartGallery w:val="Page Numbers (Bottom of Page)"/>
        <w:docPartUnique/>
      </w:docPartObj>
    </w:sdtPr>
    <w:sdtEndPr>
      <w:rPr>
        <w:noProof/>
      </w:rPr>
    </w:sdtEndPr>
    <w:sdtContent>
      <w:p w14:paraId="145FD092" w14:textId="0E32EDEF" w:rsidR="00FB0756" w:rsidRDefault="00FB0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A8482" w14:textId="77777777" w:rsidR="00FB0756" w:rsidRDefault="00FB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2F9A" w14:textId="77777777" w:rsidR="00FC2142" w:rsidRDefault="00FC2142" w:rsidP="00F825CD">
      <w:pPr>
        <w:spacing w:after="0" w:line="240" w:lineRule="auto"/>
      </w:pPr>
      <w:r>
        <w:separator/>
      </w:r>
    </w:p>
  </w:footnote>
  <w:footnote w:type="continuationSeparator" w:id="0">
    <w:p w14:paraId="45DCC629" w14:textId="77777777" w:rsidR="00FC2142" w:rsidRDefault="00FC2142" w:rsidP="00F825CD">
      <w:pPr>
        <w:spacing w:after="0" w:line="240" w:lineRule="auto"/>
      </w:pPr>
      <w:r>
        <w:continuationSeparator/>
      </w:r>
    </w:p>
  </w:footnote>
  <w:footnote w:id="1">
    <w:p w14:paraId="3ED45BC5" w14:textId="4A06C687" w:rsidR="00F825CD" w:rsidRPr="00DA6C96" w:rsidRDefault="00F825CD">
      <w:pPr>
        <w:pStyle w:val="FootnoteText"/>
        <w:rPr>
          <w:sz w:val="18"/>
          <w:szCs w:val="18"/>
        </w:rPr>
      </w:pPr>
      <w:r w:rsidRPr="00DA6C96">
        <w:rPr>
          <w:rStyle w:val="FootnoteReference"/>
          <w:sz w:val="18"/>
          <w:szCs w:val="18"/>
        </w:rPr>
        <w:footnoteRef/>
      </w:r>
      <w:r w:rsidRPr="00DA6C96">
        <w:rPr>
          <w:sz w:val="18"/>
          <w:szCs w:val="18"/>
        </w:rPr>
        <w:t xml:space="preserve"> See </w:t>
      </w:r>
      <w:hyperlink r:id="rId1" w:history="1">
        <w:r w:rsidRPr="00DA6C96">
          <w:rPr>
            <w:rStyle w:val="Hyperlink"/>
            <w:sz w:val="18"/>
            <w:szCs w:val="18"/>
          </w:rPr>
          <w:t>https://www.thecumbrialep.co.uk/clean-energy/</w:t>
        </w:r>
      </w:hyperlink>
      <w:r w:rsidRPr="00DA6C96">
        <w:rPr>
          <w:sz w:val="18"/>
          <w:szCs w:val="18"/>
        </w:rPr>
        <w:t xml:space="preserve"> </w:t>
      </w:r>
    </w:p>
  </w:footnote>
  <w:footnote w:id="2">
    <w:p w14:paraId="64B9DDE7" w14:textId="62A4D3D5" w:rsidR="0008284B" w:rsidRDefault="0008284B">
      <w:pPr>
        <w:pStyle w:val="FootnoteText"/>
      </w:pPr>
      <w:r w:rsidRPr="00DA6C96">
        <w:rPr>
          <w:rStyle w:val="FootnoteReference"/>
          <w:sz w:val="18"/>
          <w:szCs w:val="18"/>
        </w:rPr>
        <w:footnoteRef/>
      </w:r>
      <w:r w:rsidRPr="00DA6C96">
        <w:rPr>
          <w:sz w:val="18"/>
          <w:szCs w:val="18"/>
        </w:rPr>
        <w:t xml:space="preserve"> </w:t>
      </w:r>
      <w:r w:rsidRPr="00DA6C96">
        <w:rPr>
          <w:bCs/>
          <w:sz w:val="18"/>
          <w:szCs w:val="18"/>
        </w:rPr>
        <w:t xml:space="preserve">Offshore wind is excluded because it has been comprehensively covered via another report </w:t>
      </w:r>
      <w:r w:rsidR="00B303F1">
        <w:rPr>
          <w:bCs/>
          <w:sz w:val="18"/>
          <w:szCs w:val="18"/>
        </w:rPr>
        <w:t>provided to Cumbria Chamber</w:t>
      </w:r>
    </w:p>
  </w:footnote>
  <w:footnote w:id="3">
    <w:p w14:paraId="0A3EA338" w14:textId="77777777" w:rsidR="00194DC5" w:rsidRPr="006A3BFF" w:rsidRDefault="00194DC5" w:rsidP="00194DC5">
      <w:pPr>
        <w:pStyle w:val="FootnoteText"/>
        <w:rPr>
          <w:sz w:val="18"/>
          <w:szCs w:val="18"/>
        </w:rPr>
      </w:pPr>
      <w:r w:rsidRPr="006A3BFF">
        <w:rPr>
          <w:rStyle w:val="FootnoteReference"/>
          <w:sz w:val="18"/>
          <w:szCs w:val="18"/>
        </w:rPr>
        <w:footnoteRef/>
      </w:r>
      <w:r w:rsidRPr="006A3BFF">
        <w:rPr>
          <w:sz w:val="18"/>
          <w:szCs w:val="18"/>
        </w:rPr>
        <w:t xml:space="preserve"> See </w:t>
      </w:r>
      <w:hyperlink r:id="rId2" w:history="1">
        <w:r w:rsidRPr="006A3BFF">
          <w:rPr>
            <w:rStyle w:val="Hyperlink"/>
            <w:sz w:val="18"/>
            <w:szCs w:val="18"/>
          </w:rPr>
          <w:t>https://www.gov.uk/government/publications/the-ten-point-plan-for-a-green-industrial-revolution</w:t>
        </w:r>
      </w:hyperlink>
      <w:r w:rsidRPr="006A3BFF">
        <w:rPr>
          <w:sz w:val="18"/>
          <w:szCs w:val="18"/>
        </w:rPr>
        <w:t xml:space="preserve"> </w:t>
      </w:r>
    </w:p>
  </w:footnote>
  <w:footnote w:id="4">
    <w:p w14:paraId="20084694" w14:textId="77777777" w:rsidR="00194DC5" w:rsidRPr="006A3BFF" w:rsidRDefault="00194DC5" w:rsidP="00194DC5">
      <w:pPr>
        <w:pStyle w:val="FootnoteText"/>
        <w:rPr>
          <w:sz w:val="18"/>
          <w:szCs w:val="18"/>
        </w:rPr>
      </w:pPr>
      <w:r w:rsidRPr="006A3BFF">
        <w:rPr>
          <w:rStyle w:val="FootnoteReference"/>
          <w:sz w:val="18"/>
          <w:szCs w:val="18"/>
        </w:rPr>
        <w:footnoteRef/>
      </w:r>
      <w:r w:rsidRPr="006A3BFF">
        <w:rPr>
          <w:sz w:val="18"/>
          <w:szCs w:val="18"/>
        </w:rPr>
        <w:t xml:space="preserve"> See </w:t>
      </w:r>
      <w:hyperlink r:id="rId3" w:history="1">
        <w:r w:rsidRPr="006A3BFF">
          <w:rPr>
            <w:rStyle w:val="Hyperlink"/>
            <w:sz w:val="18"/>
            <w:szCs w:val="18"/>
          </w:rPr>
          <w:t>https://www.gov.uk/government/publications/net-zero-strategy</w:t>
        </w:r>
      </w:hyperlink>
      <w:r w:rsidRPr="006A3BFF">
        <w:rPr>
          <w:sz w:val="18"/>
          <w:szCs w:val="18"/>
        </w:rPr>
        <w:t xml:space="preserve"> </w:t>
      </w:r>
    </w:p>
  </w:footnote>
  <w:footnote w:id="5">
    <w:p w14:paraId="78886E2F" w14:textId="77777777" w:rsidR="00194DC5" w:rsidRDefault="00194DC5" w:rsidP="00194DC5">
      <w:pPr>
        <w:pStyle w:val="FootnoteText"/>
      </w:pPr>
      <w:r w:rsidRPr="006A3BFF">
        <w:rPr>
          <w:rStyle w:val="FootnoteReference"/>
          <w:sz w:val="18"/>
          <w:szCs w:val="18"/>
        </w:rPr>
        <w:footnoteRef/>
      </w:r>
      <w:r w:rsidRPr="006A3BFF">
        <w:rPr>
          <w:sz w:val="18"/>
          <w:szCs w:val="18"/>
        </w:rPr>
        <w:t xml:space="preserve"> See </w:t>
      </w:r>
      <w:hyperlink r:id="rId4" w:history="1">
        <w:r w:rsidRPr="006A3BFF">
          <w:rPr>
            <w:rStyle w:val="Hyperlink"/>
            <w:sz w:val="18"/>
            <w:szCs w:val="18"/>
          </w:rPr>
          <w:t>https://www.gov.uk/government/publications/green-jobs-taskforce-report</w:t>
        </w:r>
      </w:hyperlink>
      <w:r>
        <w:t xml:space="preserve"> </w:t>
      </w:r>
    </w:p>
  </w:footnote>
  <w:footnote w:id="6">
    <w:p w14:paraId="7252074B" w14:textId="77777777" w:rsidR="001427C3" w:rsidRPr="00127437" w:rsidRDefault="001427C3" w:rsidP="001427C3">
      <w:pPr>
        <w:pStyle w:val="FootnoteText"/>
        <w:rPr>
          <w:sz w:val="18"/>
          <w:szCs w:val="18"/>
        </w:rPr>
      </w:pPr>
      <w:r w:rsidRPr="00127437">
        <w:rPr>
          <w:rStyle w:val="FootnoteReference"/>
          <w:sz w:val="18"/>
          <w:szCs w:val="18"/>
        </w:rPr>
        <w:footnoteRef/>
      </w:r>
      <w:r w:rsidRPr="00127437">
        <w:rPr>
          <w:sz w:val="18"/>
          <w:szCs w:val="18"/>
        </w:rPr>
        <w:t xml:space="preserve"> See </w:t>
      </w:r>
      <w:hyperlink r:id="rId5" w:history="1">
        <w:r w:rsidRPr="00127437">
          <w:rPr>
            <w:rStyle w:val="Hyperlink"/>
            <w:sz w:val="18"/>
            <w:szCs w:val="18"/>
          </w:rPr>
          <w:t>https://www.thecumbrialep.co.uk/resources/uploads/pages/net_zero/2208-CumbriaCleanEnergyStrategy.pdf</w:t>
        </w:r>
      </w:hyperlink>
      <w:r w:rsidRPr="00127437">
        <w:rPr>
          <w:sz w:val="18"/>
          <w:szCs w:val="18"/>
        </w:rPr>
        <w:t xml:space="preserve"> </w:t>
      </w:r>
    </w:p>
  </w:footnote>
  <w:footnote w:id="7">
    <w:p w14:paraId="7B43BC51" w14:textId="77777777" w:rsidR="001427C3" w:rsidRPr="00575B6A" w:rsidRDefault="001427C3" w:rsidP="001427C3">
      <w:pPr>
        <w:pStyle w:val="FootnoteText"/>
        <w:rPr>
          <w:sz w:val="18"/>
          <w:szCs w:val="18"/>
        </w:rPr>
      </w:pPr>
      <w:r w:rsidRPr="00575B6A">
        <w:rPr>
          <w:rStyle w:val="FootnoteReference"/>
          <w:sz w:val="18"/>
          <w:szCs w:val="18"/>
        </w:rPr>
        <w:footnoteRef/>
      </w:r>
      <w:r w:rsidRPr="00575B6A">
        <w:rPr>
          <w:sz w:val="18"/>
          <w:szCs w:val="18"/>
        </w:rPr>
        <w:t xml:space="preserve"> See </w:t>
      </w:r>
      <w:hyperlink r:id="rId6" w:history="1">
        <w:r w:rsidRPr="00575B6A">
          <w:rPr>
            <w:rStyle w:val="Hyperlink"/>
            <w:sz w:val="18"/>
            <w:szCs w:val="18"/>
          </w:rPr>
          <w:t>https://www.thecumbrialep.co.uk/news-detail/2022/business-decarbonisation-a-review-of-cumbria-energy-intensive-industries/</w:t>
        </w:r>
      </w:hyperlink>
      <w:r w:rsidRPr="00575B6A">
        <w:rPr>
          <w:sz w:val="18"/>
          <w:szCs w:val="18"/>
        </w:rPr>
        <w:t xml:space="preserve"> </w:t>
      </w:r>
    </w:p>
  </w:footnote>
  <w:footnote w:id="8">
    <w:p w14:paraId="61F09F94" w14:textId="7ABA63B4" w:rsidR="003D7FE6" w:rsidRPr="003D7FE6" w:rsidRDefault="003D7FE6">
      <w:pPr>
        <w:pStyle w:val="FootnoteText"/>
        <w:rPr>
          <w:sz w:val="18"/>
          <w:szCs w:val="18"/>
        </w:rPr>
      </w:pPr>
      <w:r w:rsidRPr="003D7FE6">
        <w:rPr>
          <w:rStyle w:val="FootnoteReference"/>
          <w:sz w:val="18"/>
          <w:szCs w:val="18"/>
        </w:rPr>
        <w:footnoteRef/>
      </w:r>
      <w:r w:rsidRPr="003D7FE6">
        <w:rPr>
          <w:sz w:val="18"/>
          <w:szCs w:val="18"/>
        </w:rPr>
        <w:t xml:space="preserve"> See </w:t>
      </w:r>
      <w:hyperlink r:id="rId7" w:history="1">
        <w:r w:rsidRPr="003D7FE6">
          <w:rPr>
            <w:rStyle w:val="Hyperlink"/>
            <w:sz w:val="18"/>
            <w:szCs w:val="18"/>
          </w:rPr>
          <w:t>https://www.enwl.co.uk/globalassets/go-net-zero/net-zero/decarbonisation-pathways/cumbria-decarbonisation-pathway.pdf</w:t>
        </w:r>
      </w:hyperlink>
      <w:r w:rsidRPr="003D7FE6">
        <w:rPr>
          <w:sz w:val="18"/>
          <w:szCs w:val="18"/>
        </w:rPr>
        <w:t xml:space="preserve"> </w:t>
      </w:r>
    </w:p>
  </w:footnote>
  <w:footnote w:id="9">
    <w:p w14:paraId="7C53450D" w14:textId="5E38C0BD" w:rsidR="00575B6A" w:rsidRDefault="00575B6A">
      <w:pPr>
        <w:pStyle w:val="FootnoteText"/>
      </w:pPr>
      <w:r w:rsidRPr="00575B6A">
        <w:rPr>
          <w:rStyle w:val="FootnoteReference"/>
          <w:sz w:val="18"/>
          <w:szCs w:val="18"/>
        </w:rPr>
        <w:footnoteRef/>
      </w:r>
      <w:r w:rsidRPr="00575B6A">
        <w:rPr>
          <w:sz w:val="18"/>
          <w:szCs w:val="18"/>
        </w:rPr>
        <w:t xml:space="preserve"> See </w:t>
      </w:r>
      <w:hyperlink r:id="rId8" w:history="1">
        <w:r w:rsidRPr="00575B6A">
          <w:rPr>
            <w:rStyle w:val="Hyperlink"/>
            <w:sz w:val="18"/>
            <w:szCs w:val="18"/>
          </w:rPr>
          <w:t>https://assets.publishing.service.gov.uk/government/uploads/system/uploads/attachment_data/file/1147340/powering-up-britain-joint-overview.pdf</w:t>
        </w:r>
      </w:hyperlink>
      <w:r>
        <w:t xml:space="preserve"> </w:t>
      </w:r>
    </w:p>
  </w:footnote>
  <w:footnote w:id="10">
    <w:p w14:paraId="14EA3B35" w14:textId="7CBCBB24" w:rsidR="00332598" w:rsidRPr="00D0067E" w:rsidRDefault="00332598">
      <w:pPr>
        <w:pStyle w:val="FootnoteText"/>
        <w:rPr>
          <w:sz w:val="18"/>
          <w:szCs w:val="18"/>
        </w:rPr>
      </w:pPr>
      <w:r w:rsidRPr="00D0067E">
        <w:rPr>
          <w:rStyle w:val="FootnoteReference"/>
          <w:sz w:val="18"/>
          <w:szCs w:val="18"/>
        </w:rPr>
        <w:footnoteRef/>
      </w:r>
      <w:r w:rsidRPr="00D0067E">
        <w:rPr>
          <w:sz w:val="18"/>
          <w:szCs w:val="18"/>
        </w:rPr>
        <w:t xml:space="preserve"> See </w:t>
      </w:r>
      <w:hyperlink r:id="rId9" w:history="1">
        <w:r w:rsidR="00365D79" w:rsidRPr="00D0067E">
          <w:rPr>
            <w:rStyle w:val="Hyperlink"/>
            <w:sz w:val="18"/>
            <w:szCs w:val="18"/>
          </w:rPr>
          <w:t>https://www.energynetworks.org/industry-hub/resource-library/a-hydrogen-vision-for-the-uk.pdf</w:t>
        </w:r>
      </w:hyperlink>
    </w:p>
  </w:footnote>
  <w:footnote w:id="11">
    <w:p w14:paraId="32D231EF" w14:textId="4C494EA9" w:rsidR="00AE4512" w:rsidRPr="00AE4512" w:rsidRDefault="00AE4512">
      <w:pPr>
        <w:pStyle w:val="FootnoteText"/>
        <w:rPr>
          <w:sz w:val="18"/>
          <w:szCs w:val="18"/>
        </w:rPr>
      </w:pPr>
      <w:r w:rsidRPr="00AE4512">
        <w:rPr>
          <w:rStyle w:val="FootnoteReference"/>
          <w:sz w:val="18"/>
          <w:szCs w:val="18"/>
        </w:rPr>
        <w:footnoteRef/>
      </w:r>
      <w:r w:rsidRPr="00AE4512">
        <w:rPr>
          <w:sz w:val="18"/>
          <w:szCs w:val="18"/>
        </w:rPr>
        <w:t xml:space="preserve"> See </w:t>
      </w:r>
      <w:hyperlink r:id="rId10" w:history="1">
        <w:r w:rsidRPr="00AE4512">
          <w:rPr>
            <w:rStyle w:val="Hyperlink"/>
            <w:sz w:val="18"/>
            <w:szCs w:val="18"/>
          </w:rPr>
          <w:t>https://cadentgas.com/tenpointplan</w:t>
        </w:r>
      </w:hyperlink>
      <w:r w:rsidRPr="00AE4512">
        <w:rPr>
          <w:sz w:val="18"/>
          <w:szCs w:val="18"/>
        </w:rPr>
        <w:t xml:space="preserve"> </w:t>
      </w:r>
    </w:p>
  </w:footnote>
  <w:footnote w:id="12">
    <w:p w14:paraId="2FD51EC8" w14:textId="3EEE10FD" w:rsidR="009239CC" w:rsidRPr="00FA72E0" w:rsidRDefault="009239CC">
      <w:pPr>
        <w:pStyle w:val="FootnoteText"/>
        <w:rPr>
          <w:sz w:val="18"/>
          <w:szCs w:val="18"/>
        </w:rPr>
      </w:pPr>
      <w:r w:rsidRPr="00FA72E0">
        <w:rPr>
          <w:rStyle w:val="FootnoteReference"/>
          <w:sz w:val="18"/>
          <w:szCs w:val="18"/>
        </w:rPr>
        <w:footnoteRef/>
      </w:r>
      <w:r w:rsidRPr="00FA72E0">
        <w:rPr>
          <w:sz w:val="18"/>
          <w:szCs w:val="18"/>
        </w:rPr>
        <w:t xml:space="preserve"> </w:t>
      </w:r>
      <w:r w:rsidR="005A160A" w:rsidRPr="00FA72E0">
        <w:rPr>
          <w:sz w:val="18"/>
          <w:szCs w:val="18"/>
        </w:rPr>
        <w:t xml:space="preserve">See </w:t>
      </w:r>
      <w:hyperlink r:id="rId11" w:history="1">
        <w:r w:rsidR="005A160A" w:rsidRPr="00FA72E0">
          <w:rPr>
            <w:rStyle w:val="Hyperlink"/>
            <w:sz w:val="18"/>
            <w:szCs w:val="18"/>
          </w:rPr>
          <w:t>https://www.gov.uk/government/publications/carbon-capture-usage-and-storage-net-zero-investment-roadmap</w:t>
        </w:r>
      </w:hyperlink>
      <w:r w:rsidR="005A160A" w:rsidRPr="00FA72E0">
        <w:rPr>
          <w:sz w:val="18"/>
          <w:szCs w:val="18"/>
        </w:rPr>
        <w:t xml:space="preserve"> </w:t>
      </w:r>
    </w:p>
  </w:footnote>
  <w:footnote w:id="13">
    <w:p w14:paraId="5AE9BBC7" w14:textId="3730A109" w:rsidR="001919FC" w:rsidRPr="00FA72E0" w:rsidRDefault="001919FC">
      <w:pPr>
        <w:pStyle w:val="FootnoteText"/>
        <w:rPr>
          <w:sz w:val="18"/>
          <w:szCs w:val="18"/>
        </w:rPr>
      </w:pPr>
      <w:r w:rsidRPr="00FA72E0">
        <w:rPr>
          <w:rStyle w:val="FootnoteReference"/>
          <w:sz w:val="18"/>
          <w:szCs w:val="18"/>
        </w:rPr>
        <w:footnoteRef/>
      </w:r>
      <w:r w:rsidRPr="00FA72E0">
        <w:rPr>
          <w:sz w:val="18"/>
          <w:szCs w:val="18"/>
        </w:rPr>
        <w:t xml:space="preserve"> See </w:t>
      </w:r>
      <w:hyperlink r:id="rId12" w:history="1">
        <w:r w:rsidRPr="00FA72E0">
          <w:rPr>
            <w:rStyle w:val="Hyperlink"/>
            <w:sz w:val="18"/>
            <w:szCs w:val="18"/>
          </w:rPr>
          <w:t>https://www.gov.uk/government/news/green-jobs-delivery-steps-up-a-gear</w:t>
        </w:r>
      </w:hyperlink>
      <w:r w:rsidRPr="00FA72E0">
        <w:rPr>
          <w:sz w:val="18"/>
          <w:szCs w:val="18"/>
        </w:rPr>
        <w:t xml:space="preserve"> </w:t>
      </w:r>
    </w:p>
  </w:footnote>
  <w:footnote w:id="14">
    <w:p w14:paraId="4292CCF1" w14:textId="24A103C8" w:rsidR="00D762A7" w:rsidRPr="00FA72E0" w:rsidRDefault="00D762A7">
      <w:pPr>
        <w:pStyle w:val="FootnoteText"/>
        <w:rPr>
          <w:sz w:val="18"/>
          <w:szCs w:val="18"/>
        </w:rPr>
      </w:pPr>
      <w:r w:rsidRPr="00FA72E0">
        <w:rPr>
          <w:rStyle w:val="FootnoteReference"/>
          <w:sz w:val="18"/>
          <w:szCs w:val="18"/>
        </w:rPr>
        <w:footnoteRef/>
      </w:r>
      <w:r w:rsidRPr="00FA72E0">
        <w:rPr>
          <w:sz w:val="18"/>
          <w:szCs w:val="18"/>
        </w:rPr>
        <w:t xml:space="preserve"> See </w:t>
      </w:r>
      <w:hyperlink r:id="rId13" w:history="1">
        <w:r w:rsidRPr="00FA72E0">
          <w:rPr>
            <w:rStyle w:val="Hyperlink"/>
            <w:sz w:val="18"/>
            <w:szCs w:val="18"/>
          </w:rPr>
          <w:t>https://www.gov.uk/government/publications/north-sea-transition-deal</w:t>
        </w:r>
      </w:hyperlink>
      <w:r w:rsidRPr="00FA72E0">
        <w:rPr>
          <w:sz w:val="18"/>
          <w:szCs w:val="18"/>
        </w:rPr>
        <w:t xml:space="preserve"> </w:t>
      </w:r>
    </w:p>
  </w:footnote>
  <w:footnote w:id="15">
    <w:p w14:paraId="65B8234B" w14:textId="7A36B0BC" w:rsidR="00B1507B" w:rsidRDefault="00B1507B">
      <w:pPr>
        <w:pStyle w:val="FootnoteText"/>
      </w:pPr>
      <w:r w:rsidRPr="00FA72E0">
        <w:rPr>
          <w:rStyle w:val="FootnoteReference"/>
          <w:sz w:val="18"/>
          <w:szCs w:val="18"/>
        </w:rPr>
        <w:footnoteRef/>
      </w:r>
      <w:r w:rsidRPr="00FA72E0">
        <w:rPr>
          <w:sz w:val="18"/>
          <w:szCs w:val="18"/>
        </w:rPr>
        <w:t xml:space="preserve"> See </w:t>
      </w:r>
      <w:hyperlink r:id="rId14" w:history="1">
        <w:r w:rsidRPr="00FA72E0">
          <w:rPr>
            <w:rStyle w:val="Hyperlink"/>
            <w:sz w:val="18"/>
            <w:szCs w:val="18"/>
          </w:rPr>
          <w:t>https://www.offshoreenergypeopleandskills.co.uk/</w:t>
        </w:r>
      </w:hyperlink>
      <w:r>
        <w:t xml:space="preserve"> </w:t>
      </w:r>
    </w:p>
  </w:footnote>
  <w:footnote w:id="16">
    <w:p w14:paraId="589C01FD" w14:textId="0F2AF853" w:rsidR="00D9558E" w:rsidRPr="00197592" w:rsidRDefault="00D9558E">
      <w:pPr>
        <w:pStyle w:val="FootnoteText"/>
        <w:rPr>
          <w:sz w:val="18"/>
          <w:szCs w:val="18"/>
        </w:rPr>
      </w:pPr>
      <w:r w:rsidRPr="00197592">
        <w:rPr>
          <w:rStyle w:val="FootnoteReference"/>
          <w:sz w:val="18"/>
          <w:szCs w:val="18"/>
        </w:rPr>
        <w:footnoteRef/>
      </w:r>
      <w:r w:rsidRPr="00197592">
        <w:rPr>
          <w:sz w:val="18"/>
          <w:szCs w:val="18"/>
        </w:rPr>
        <w:t xml:space="preserve"> </w:t>
      </w:r>
      <w:r w:rsidR="00DA5CCA" w:rsidRPr="00197592">
        <w:rPr>
          <w:sz w:val="18"/>
          <w:szCs w:val="18"/>
        </w:rPr>
        <w:t xml:space="preserve">See </w:t>
      </w:r>
      <w:hyperlink r:id="rId15" w:history="1">
        <w:r w:rsidR="00DA5CCA" w:rsidRPr="00197592">
          <w:rPr>
            <w:rStyle w:val="Hyperlink"/>
            <w:sz w:val="18"/>
            <w:szCs w:val="18"/>
          </w:rPr>
          <w:t>https://www.thecumbrialep.co.uk/resources/uploads/files/200707-Cumbria-Nuclear-Prospectus_Final.pdf</w:t>
        </w:r>
      </w:hyperlink>
      <w:r w:rsidR="00DA5CCA" w:rsidRPr="00197592">
        <w:rPr>
          <w:sz w:val="18"/>
          <w:szCs w:val="18"/>
        </w:rPr>
        <w:t xml:space="preserve"> </w:t>
      </w:r>
    </w:p>
  </w:footnote>
  <w:footnote w:id="17">
    <w:p w14:paraId="0823D8D7" w14:textId="28359AE7" w:rsidR="004C6018" w:rsidRPr="00197592" w:rsidRDefault="004C6018">
      <w:pPr>
        <w:pStyle w:val="FootnoteText"/>
        <w:rPr>
          <w:sz w:val="18"/>
          <w:szCs w:val="18"/>
        </w:rPr>
      </w:pPr>
      <w:r w:rsidRPr="00197592">
        <w:rPr>
          <w:rStyle w:val="FootnoteReference"/>
          <w:sz w:val="18"/>
          <w:szCs w:val="18"/>
        </w:rPr>
        <w:footnoteRef/>
      </w:r>
      <w:r w:rsidRPr="00197592">
        <w:rPr>
          <w:sz w:val="18"/>
          <w:szCs w:val="18"/>
        </w:rPr>
        <w:t xml:space="preserve"> See </w:t>
      </w:r>
      <w:hyperlink r:id="rId16" w:history="1">
        <w:r w:rsidRPr="00197592">
          <w:rPr>
            <w:rStyle w:val="Hyperlink"/>
            <w:sz w:val="18"/>
            <w:szCs w:val="18"/>
          </w:rPr>
          <w:t>https://www.sizewellcconsortium.com/news/northernpledge</w:t>
        </w:r>
      </w:hyperlink>
      <w:r w:rsidRPr="00197592">
        <w:rPr>
          <w:sz w:val="18"/>
          <w:szCs w:val="18"/>
        </w:rPr>
        <w:t xml:space="preserve"> </w:t>
      </w:r>
    </w:p>
  </w:footnote>
  <w:footnote w:id="18">
    <w:p w14:paraId="3758D402" w14:textId="7532DAEC" w:rsidR="00B66674" w:rsidRPr="00197592" w:rsidRDefault="00B66674">
      <w:pPr>
        <w:pStyle w:val="FootnoteText"/>
        <w:rPr>
          <w:sz w:val="18"/>
          <w:szCs w:val="18"/>
        </w:rPr>
      </w:pPr>
      <w:r w:rsidRPr="00197592">
        <w:rPr>
          <w:rStyle w:val="FootnoteReference"/>
          <w:sz w:val="18"/>
          <w:szCs w:val="18"/>
        </w:rPr>
        <w:footnoteRef/>
      </w:r>
      <w:r w:rsidRPr="00197592">
        <w:rPr>
          <w:sz w:val="18"/>
          <w:szCs w:val="18"/>
        </w:rPr>
        <w:t xml:space="preserve"> See </w:t>
      </w:r>
      <w:hyperlink r:id="rId17" w:history="1">
        <w:r w:rsidRPr="00197592">
          <w:rPr>
            <w:rStyle w:val="Hyperlink"/>
            <w:sz w:val="18"/>
            <w:szCs w:val="18"/>
          </w:rPr>
          <w:t>https://www.nssguk.com/skills-strategy/skills-strategy-and-sector-deal/</w:t>
        </w:r>
      </w:hyperlink>
      <w:r w:rsidRPr="00197592">
        <w:rPr>
          <w:sz w:val="18"/>
          <w:szCs w:val="18"/>
        </w:rPr>
        <w:t xml:space="preserve"> </w:t>
      </w:r>
    </w:p>
  </w:footnote>
  <w:footnote w:id="19">
    <w:p w14:paraId="5713E1EC" w14:textId="41F9C6A8" w:rsidR="00197592" w:rsidRDefault="00197592">
      <w:pPr>
        <w:pStyle w:val="FootnoteText"/>
      </w:pPr>
      <w:r w:rsidRPr="00197592">
        <w:rPr>
          <w:rStyle w:val="FootnoteReference"/>
          <w:sz w:val="18"/>
          <w:szCs w:val="18"/>
        </w:rPr>
        <w:footnoteRef/>
      </w:r>
      <w:r w:rsidRPr="00197592">
        <w:rPr>
          <w:sz w:val="18"/>
          <w:szCs w:val="18"/>
        </w:rPr>
        <w:t xml:space="preserve"> See </w:t>
      </w:r>
      <w:hyperlink r:id="rId18" w:history="1">
        <w:r w:rsidRPr="00197592">
          <w:rPr>
            <w:rStyle w:val="Hyperlink"/>
            <w:sz w:val="18"/>
            <w:szCs w:val="18"/>
          </w:rPr>
          <w:t>https://www.nssguk.com/media/2812/nwa-2021-issue-1.pdf</w:t>
        </w:r>
      </w:hyperlink>
      <w:r>
        <w:t xml:space="preserve"> </w:t>
      </w:r>
    </w:p>
  </w:footnote>
  <w:footnote w:id="20">
    <w:p w14:paraId="469D5012" w14:textId="77777777" w:rsidR="00352824" w:rsidRPr="006A3BFF" w:rsidRDefault="00352824" w:rsidP="00352824">
      <w:pPr>
        <w:pStyle w:val="FootnoteText"/>
        <w:rPr>
          <w:sz w:val="18"/>
          <w:szCs w:val="18"/>
        </w:rPr>
      </w:pPr>
      <w:r w:rsidRPr="006A3BFF">
        <w:rPr>
          <w:rStyle w:val="FootnoteReference"/>
          <w:sz w:val="18"/>
          <w:szCs w:val="18"/>
        </w:rPr>
        <w:footnoteRef/>
      </w:r>
      <w:r w:rsidRPr="006A3BFF">
        <w:rPr>
          <w:sz w:val="18"/>
          <w:szCs w:val="18"/>
        </w:rPr>
        <w:t xml:space="preserve"> Source: </w:t>
      </w:r>
      <w:hyperlink r:id="rId19" w:history="1">
        <w:r w:rsidRPr="006A3BFF">
          <w:rPr>
            <w:rStyle w:val="Hyperlink"/>
            <w:sz w:val="18"/>
            <w:szCs w:val="18"/>
          </w:rPr>
          <w:t>https://media.nesta.org.uk/documents/Going_Green-_Preparing_the_UK_workforce_to_the_transition_to_a_net_zero_economy.June.2020.pdf</w:t>
        </w:r>
      </w:hyperlink>
      <w:r w:rsidRPr="006A3BFF">
        <w:rPr>
          <w:sz w:val="18"/>
          <w:szCs w:val="18"/>
        </w:rPr>
        <w:t xml:space="preserve"> </w:t>
      </w:r>
    </w:p>
  </w:footnote>
  <w:footnote w:id="21">
    <w:p w14:paraId="35AED480" w14:textId="26F4906E" w:rsidR="000F5D01" w:rsidRPr="00BF458B" w:rsidRDefault="000F5D01" w:rsidP="000F5D01">
      <w:pPr>
        <w:pStyle w:val="FootnoteText"/>
        <w:rPr>
          <w:sz w:val="18"/>
          <w:szCs w:val="18"/>
        </w:rPr>
      </w:pPr>
      <w:r w:rsidRPr="00BF458B">
        <w:rPr>
          <w:rStyle w:val="FootnoteReference"/>
          <w:sz w:val="18"/>
          <w:szCs w:val="18"/>
        </w:rPr>
        <w:footnoteRef/>
      </w:r>
      <w:r w:rsidRPr="00BF458B">
        <w:rPr>
          <w:sz w:val="18"/>
          <w:szCs w:val="18"/>
        </w:rPr>
        <w:t xml:space="preserve"> The names of these organisations are presented as they appear in the Environment Agency database, although we are aware that in some cases these names have since changed (</w:t>
      </w:r>
      <w:r w:rsidRPr="00BF458B">
        <w:rPr>
          <w:sz w:val="18"/>
          <w:szCs w:val="18"/>
        </w:rPr>
        <w:t xml:space="preserve">eg Corus, </w:t>
      </w:r>
      <w:r w:rsidR="00BF458B" w:rsidRPr="00BF458B">
        <w:rPr>
          <w:sz w:val="18"/>
          <w:szCs w:val="18"/>
        </w:rPr>
        <w:t xml:space="preserve">Hydrocarbon Resources Ltd, BNFL, etc) </w:t>
      </w:r>
    </w:p>
  </w:footnote>
  <w:footnote w:id="22">
    <w:p w14:paraId="7D07325C" w14:textId="7C582525" w:rsidR="006B4F78" w:rsidRPr="006B4F78" w:rsidRDefault="006B4F78">
      <w:pPr>
        <w:pStyle w:val="FootnoteText"/>
        <w:rPr>
          <w:sz w:val="18"/>
          <w:szCs w:val="18"/>
        </w:rPr>
      </w:pPr>
      <w:r w:rsidRPr="006B4F78">
        <w:rPr>
          <w:rStyle w:val="FootnoteReference"/>
          <w:sz w:val="18"/>
          <w:szCs w:val="18"/>
        </w:rPr>
        <w:footnoteRef/>
      </w:r>
      <w:r w:rsidRPr="006B4F78">
        <w:rPr>
          <w:sz w:val="18"/>
          <w:szCs w:val="18"/>
        </w:rPr>
        <w:t xml:space="preserve"> See </w:t>
      </w:r>
      <w:hyperlink r:id="rId20" w:history="1">
        <w:r w:rsidRPr="006B4F78">
          <w:rPr>
            <w:rStyle w:val="Hyperlink"/>
            <w:sz w:val="18"/>
            <w:szCs w:val="18"/>
          </w:rPr>
          <w:t>https://www.nfer.ac.uk/key-topics-expertise/education-to-employment/the-skills-imperative-2035/</w:t>
        </w:r>
      </w:hyperlink>
      <w:r w:rsidRPr="006B4F78">
        <w:rPr>
          <w:sz w:val="18"/>
          <w:szCs w:val="18"/>
        </w:rPr>
        <w:t xml:space="preserve"> </w:t>
      </w:r>
    </w:p>
  </w:footnote>
  <w:footnote w:id="23">
    <w:p w14:paraId="3363940B" w14:textId="4AA978B5" w:rsidR="00E05221" w:rsidRPr="00E05221" w:rsidRDefault="00E05221">
      <w:pPr>
        <w:pStyle w:val="FootnoteText"/>
        <w:rPr>
          <w:sz w:val="18"/>
          <w:szCs w:val="18"/>
        </w:rPr>
      </w:pPr>
      <w:r w:rsidRPr="00E05221">
        <w:rPr>
          <w:rStyle w:val="FootnoteReference"/>
          <w:sz w:val="18"/>
          <w:szCs w:val="18"/>
        </w:rPr>
        <w:footnoteRef/>
      </w:r>
      <w:r w:rsidRPr="00E05221">
        <w:rPr>
          <w:sz w:val="18"/>
          <w:szCs w:val="18"/>
        </w:rPr>
        <w:t xml:space="preserve"> Available via </w:t>
      </w:r>
      <w:hyperlink r:id="rId21" w:history="1">
        <w:r w:rsidRPr="00E05221">
          <w:rPr>
            <w:rStyle w:val="Hyperlink"/>
            <w:sz w:val="18"/>
            <w:szCs w:val="18"/>
          </w:rPr>
          <w:t>https://www.thecumbrialep.co.uk/skills/</w:t>
        </w:r>
      </w:hyperlink>
      <w:r w:rsidRPr="00E05221">
        <w:rPr>
          <w:sz w:val="18"/>
          <w:szCs w:val="18"/>
        </w:rPr>
        <w:t xml:space="preserve">  </w:t>
      </w:r>
    </w:p>
  </w:footnote>
  <w:footnote w:id="24">
    <w:p w14:paraId="0784402F" w14:textId="533FC10A" w:rsidR="007C2BF3" w:rsidRPr="006F1D0A" w:rsidRDefault="007C2BF3">
      <w:pPr>
        <w:pStyle w:val="FootnoteText"/>
        <w:rPr>
          <w:sz w:val="18"/>
          <w:szCs w:val="18"/>
        </w:rPr>
      </w:pPr>
      <w:r w:rsidRPr="006F1D0A">
        <w:rPr>
          <w:rStyle w:val="FootnoteReference"/>
          <w:sz w:val="18"/>
          <w:szCs w:val="18"/>
        </w:rPr>
        <w:footnoteRef/>
      </w:r>
      <w:r w:rsidRPr="006F1D0A">
        <w:rPr>
          <w:sz w:val="18"/>
          <w:szCs w:val="18"/>
        </w:rPr>
        <w:t xml:space="preserve"> </w:t>
      </w:r>
      <w:r w:rsidR="006F1D0A">
        <w:rPr>
          <w:sz w:val="18"/>
          <w:szCs w:val="18"/>
        </w:rPr>
        <w:t>The description of o</w:t>
      </w:r>
      <w:r w:rsidR="006F1D0A" w:rsidRPr="006F1D0A">
        <w:rPr>
          <w:sz w:val="18"/>
          <w:szCs w:val="18"/>
        </w:rPr>
        <w:t>ccupations reflect</w:t>
      </w:r>
      <w:r w:rsidR="006F1D0A">
        <w:rPr>
          <w:sz w:val="18"/>
          <w:szCs w:val="18"/>
        </w:rPr>
        <w:t>s</w:t>
      </w:r>
      <w:r w:rsidR="006F1D0A" w:rsidRPr="006F1D0A">
        <w:rPr>
          <w:sz w:val="18"/>
          <w:szCs w:val="18"/>
        </w:rPr>
        <w:t xml:space="preserve"> </w:t>
      </w:r>
      <w:r w:rsidR="006F1D0A">
        <w:rPr>
          <w:sz w:val="18"/>
          <w:szCs w:val="18"/>
        </w:rPr>
        <w:t xml:space="preserve">the </w:t>
      </w:r>
      <w:r w:rsidR="006F1D0A" w:rsidRPr="006F1D0A">
        <w:rPr>
          <w:sz w:val="18"/>
          <w:szCs w:val="18"/>
        </w:rPr>
        <w:t xml:space="preserve">terminology used in </w:t>
      </w:r>
      <w:r w:rsidR="006F1D0A" w:rsidRPr="006F1D0A">
        <w:rPr>
          <w:sz w:val="18"/>
          <w:szCs w:val="18"/>
        </w:rPr>
        <w:t>IfATE’s occupational maps</w:t>
      </w:r>
    </w:p>
  </w:footnote>
  <w:footnote w:id="25">
    <w:p w14:paraId="6569921C" w14:textId="2475CE53" w:rsidR="00981FF5" w:rsidRPr="00981FF5" w:rsidRDefault="00981FF5">
      <w:pPr>
        <w:pStyle w:val="FootnoteText"/>
        <w:rPr>
          <w:sz w:val="18"/>
          <w:szCs w:val="18"/>
        </w:rPr>
      </w:pPr>
      <w:r w:rsidRPr="00981FF5">
        <w:rPr>
          <w:rStyle w:val="FootnoteReference"/>
          <w:sz w:val="18"/>
          <w:szCs w:val="18"/>
        </w:rPr>
        <w:footnoteRef/>
      </w:r>
      <w:r w:rsidRPr="00981FF5">
        <w:rPr>
          <w:sz w:val="18"/>
          <w:szCs w:val="18"/>
        </w:rPr>
        <w:t xml:space="preserve"> The titles of occupations are the same as those used in the </w:t>
      </w:r>
      <w:r w:rsidRPr="00981FF5">
        <w:rPr>
          <w:sz w:val="18"/>
          <w:szCs w:val="18"/>
        </w:rPr>
        <w:t>IfATE occupational maps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4D7"/>
    <w:multiLevelType w:val="hybridMultilevel"/>
    <w:tmpl w:val="369435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A21792"/>
    <w:multiLevelType w:val="hybridMultilevel"/>
    <w:tmpl w:val="C2C69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85626"/>
    <w:multiLevelType w:val="hybridMultilevel"/>
    <w:tmpl w:val="5B8A4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3257E"/>
    <w:multiLevelType w:val="hybridMultilevel"/>
    <w:tmpl w:val="FA702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D3F30"/>
    <w:multiLevelType w:val="hybridMultilevel"/>
    <w:tmpl w:val="B28663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00019"/>
    <w:multiLevelType w:val="hybridMultilevel"/>
    <w:tmpl w:val="707241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E40B9"/>
    <w:multiLevelType w:val="hybridMultilevel"/>
    <w:tmpl w:val="E444A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244F98"/>
    <w:multiLevelType w:val="hybridMultilevel"/>
    <w:tmpl w:val="A4C22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8C6E83"/>
    <w:multiLevelType w:val="hybridMultilevel"/>
    <w:tmpl w:val="C316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AB6A5B"/>
    <w:multiLevelType w:val="hybridMultilevel"/>
    <w:tmpl w:val="844A81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6152A5F"/>
    <w:multiLevelType w:val="hybridMultilevel"/>
    <w:tmpl w:val="6CDA5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D113B2"/>
    <w:multiLevelType w:val="hybridMultilevel"/>
    <w:tmpl w:val="C8560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94358D"/>
    <w:multiLevelType w:val="hybridMultilevel"/>
    <w:tmpl w:val="228A5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AE19DB"/>
    <w:multiLevelType w:val="hybridMultilevel"/>
    <w:tmpl w:val="3B14E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61A95"/>
    <w:multiLevelType w:val="hybridMultilevel"/>
    <w:tmpl w:val="DACA23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7977B2"/>
    <w:multiLevelType w:val="hybridMultilevel"/>
    <w:tmpl w:val="5590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5201B0"/>
    <w:multiLevelType w:val="hybridMultilevel"/>
    <w:tmpl w:val="BA480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8E4957"/>
    <w:multiLevelType w:val="hybridMultilevel"/>
    <w:tmpl w:val="8A601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1228AE"/>
    <w:multiLevelType w:val="hybridMultilevel"/>
    <w:tmpl w:val="2F982790"/>
    <w:lvl w:ilvl="0" w:tplc="9AFC42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ED7914"/>
    <w:multiLevelType w:val="hybridMultilevel"/>
    <w:tmpl w:val="A9A22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84624C"/>
    <w:multiLevelType w:val="hybridMultilevel"/>
    <w:tmpl w:val="9BF0D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E14877"/>
    <w:multiLevelType w:val="hybridMultilevel"/>
    <w:tmpl w:val="9454F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C1F69"/>
    <w:multiLevelType w:val="hybridMultilevel"/>
    <w:tmpl w:val="5CE0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D843A6"/>
    <w:multiLevelType w:val="hybridMultilevel"/>
    <w:tmpl w:val="15D846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0C41B7"/>
    <w:multiLevelType w:val="hybridMultilevel"/>
    <w:tmpl w:val="B3204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187242"/>
    <w:multiLevelType w:val="hybridMultilevel"/>
    <w:tmpl w:val="5E684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7638105">
    <w:abstractNumId w:val="6"/>
  </w:num>
  <w:num w:numId="2" w16cid:durableId="862135279">
    <w:abstractNumId w:val="15"/>
  </w:num>
  <w:num w:numId="3" w16cid:durableId="885072201">
    <w:abstractNumId w:val="18"/>
  </w:num>
  <w:num w:numId="4" w16cid:durableId="950085061">
    <w:abstractNumId w:val="10"/>
  </w:num>
  <w:num w:numId="5" w16cid:durableId="1091271039">
    <w:abstractNumId w:val="19"/>
  </w:num>
  <w:num w:numId="6" w16cid:durableId="1876190601">
    <w:abstractNumId w:val="25"/>
  </w:num>
  <w:num w:numId="7" w16cid:durableId="262423993">
    <w:abstractNumId w:val="1"/>
  </w:num>
  <w:num w:numId="8" w16cid:durableId="1100176553">
    <w:abstractNumId w:val="24"/>
  </w:num>
  <w:num w:numId="9" w16cid:durableId="527572386">
    <w:abstractNumId w:val="2"/>
  </w:num>
  <w:num w:numId="10" w16cid:durableId="300037691">
    <w:abstractNumId w:val="13"/>
  </w:num>
  <w:num w:numId="11" w16cid:durableId="151915915">
    <w:abstractNumId w:val="17"/>
  </w:num>
  <w:num w:numId="12" w16cid:durableId="953748042">
    <w:abstractNumId w:val="21"/>
  </w:num>
  <w:num w:numId="13" w16cid:durableId="994188407">
    <w:abstractNumId w:val="16"/>
  </w:num>
  <w:num w:numId="14" w16cid:durableId="1038971271">
    <w:abstractNumId w:val="7"/>
  </w:num>
  <w:num w:numId="15" w16cid:durableId="23793295">
    <w:abstractNumId w:val="12"/>
  </w:num>
  <w:num w:numId="16" w16cid:durableId="992828308">
    <w:abstractNumId w:val="3"/>
  </w:num>
  <w:num w:numId="17" w16cid:durableId="677466735">
    <w:abstractNumId w:val="8"/>
  </w:num>
  <w:num w:numId="18" w16cid:durableId="784811977">
    <w:abstractNumId w:val="0"/>
  </w:num>
  <w:num w:numId="19" w16cid:durableId="431439049">
    <w:abstractNumId w:val="5"/>
  </w:num>
  <w:num w:numId="20" w16cid:durableId="453404240">
    <w:abstractNumId w:val="20"/>
  </w:num>
  <w:num w:numId="21" w16cid:durableId="918363446">
    <w:abstractNumId w:val="22"/>
  </w:num>
  <w:num w:numId="22" w16cid:durableId="320891615">
    <w:abstractNumId w:val="14"/>
  </w:num>
  <w:num w:numId="23" w16cid:durableId="824050617">
    <w:abstractNumId w:val="4"/>
  </w:num>
  <w:num w:numId="24" w16cid:durableId="45691221">
    <w:abstractNumId w:val="9"/>
  </w:num>
  <w:num w:numId="25" w16cid:durableId="1516534257">
    <w:abstractNumId w:val="23"/>
  </w:num>
  <w:num w:numId="26" w16cid:durableId="473643779">
    <w:abstractNumId w:val="11"/>
  </w:num>
  <w:num w:numId="27" w16cid:durableId="33476530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A3"/>
    <w:rsid w:val="00000A3B"/>
    <w:rsid w:val="000017D3"/>
    <w:rsid w:val="00002476"/>
    <w:rsid w:val="00004395"/>
    <w:rsid w:val="00005A37"/>
    <w:rsid w:val="00011297"/>
    <w:rsid w:val="000115CD"/>
    <w:rsid w:val="000139EB"/>
    <w:rsid w:val="000151A3"/>
    <w:rsid w:val="0002003E"/>
    <w:rsid w:val="000201FE"/>
    <w:rsid w:val="00020B6B"/>
    <w:rsid w:val="00021501"/>
    <w:rsid w:val="00021EF5"/>
    <w:rsid w:val="00025489"/>
    <w:rsid w:val="000308F3"/>
    <w:rsid w:val="000315DB"/>
    <w:rsid w:val="0003179A"/>
    <w:rsid w:val="00037289"/>
    <w:rsid w:val="00037EB0"/>
    <w:rsid w:val="00041F1F"/>
    <w:rsid w:val="00044658"/>
    <w:rsid w:val="000467B4"/>
    <w:rsid w:val="00050FBD"/>
    <w:rsid w:val="00050FD5"/>
    <w:rsid w:val="0006363B"/>
    <w:rsid w:val="00066473"/>
    <w:rsid w:val="00067F25"/>
    <w:rsid w:val="0007239D"/>
    <w:rsid w:val="00081366"/>
    <w:rsid w:val="00081A65"/>
    <w:rsid w:val="0008284B"/>
    <w:rsid w:val="00082DA4"/>
    <w:rsid w:val="00087305"/>
    <w:rsid w:val="00091D2F"/>
    <w:rsid w:val="00092624"/>
    <w:rsid w:val="00096EAF"/>
    <w:rsid w:val="000A1ACF"/>
    <w:rsid w:val="000A255D"/>
    <w:rsid w:val="000B0656"/>
    <w:rsid w:val="000B176C"/>
    <w:rsid w:val="000B4342"/>
    <w:rsid w:val="000B4A45"/>
    <w:rsid w:val="000B69C7"/>
    <w:rsid w:val="000B7776"/>
    <w:rsid w:val="000C2F97"/>
    <w:rsid w:val="000C3417"/>
    <w:rsid w:val="000C5DC3"/>
    <w:rsid w:val="000C79A6"/>
    <w:rsid w:val="000D4A70"/>
    <w:rsid w:val="000D4AEA"/>
    <w:rsid w:val="000E18B1"/>
    <w:rsid w:val="000E21AD"/>
    <w:rsid w:val="000E2F32"/>
    <w:rsid w:val="000E3890"/>
    <w:rsid w:val="000E43AD"/>
    <w:rsid w:val="000E5542"/>
    <w:rsid w:val="000F084B"/>
    <w:rsid w:val="000F1EF5"/>
    <w:rsid w:val="000F5D01"/>
    <w:rsid w:val="000F6D7A"/>
    <w:rsid w:val="0010666F"/>
    <w:rsid w:val="00112C14"/>
    <w:rsid w:val="00113E9B"/>
    <w:rsid w:val="00116CEC"/>
    <w:rsid w:val="00120446"/>
    <w:rsid w:val="00120474"/>
    <w:rsid w:val="00126FCF"/>
    <w:rsid w:val="00127437"/>
    <w:rsid w:val="00132E35"/>
    <w:rsid w:val="0013308B"/>
    <w:rsid w:val="0013444D"/>
    <w:rsid w:val="00136BC5"/>
    <w:rsid w:val="00137518"/>
    <w:rsid w:val="00140623"/>
    <w:rsid w:val="00140773"/>
    <w:rsid w:val="001427C3"/>
    <w:rsid w:val="00144DA7"/>
    <w:rsid w:val="001474B9"/>
    <w:rsid w:val="00147B32"/>
    <w:rsid w:val="00155B9C"/>
    <w:rsid w:val="0015619B"/>
    <w:rsid w:val="001601DC"/>
    <w:rsid w:val="001612F5"/>
    <w:rsid w:val="00161D6B"/>
    <w:rsid w:val="00163BD0"/>
    <w:rsid w:val="001702A3"/>
    <w:rsid w:val="00170537"/>
    <w:rsid w:val="00170F45"/>
    <w:rsid w:val="0017204E"/>
    <w:rsid w:val="00182C04"/>
    <w:rsid w:val="00183864"/>
    <w:rsid w:val="00184A3C"/>
    <w:rsid w:val="00184C96"/>
    <w:rsid w:val="001853A3"/>
    <w:rsid w:val="001867D5"/>
    <w:rsid w:val="0018713D"/>
    <w:rsid w:val="001919FC"/>
    <w:rsid w:val="001924AD"/>
    <w:rsid w:val="00192DDD"/>
    <w:rsid w:val="00194280"/>
    <w:rsid w:val="00194299"/>
    <w:rsid w:val="00194DC5"/>
    <w:rsid w:val="00195065"/>
    <w:rsid w:val="0019650D"/>
    <w:rsid w:val="00197592"/>
    <w:rsid w:val="001A03A5"/>
    <w:rsid w:val="001A37FA"/>
    <w:rsid w:val="001A3B8C"/>
    <w:rsid w:val="001A4683"/>
    <w:rsid w:val="001A71B8"/>
    <w:rsid w:val="001B0CA5"/>
    <w:rsid w:val="001B273E"/>
    <w:rsid w:val="001B3A4E"/>
    <w:rsid w:val="001B4AC0"/>
    <w:rsid w:val="001B6C55"/>
    <w:rsid w:val="001B7848"/>
    <w:rsid w:val="001C1BAB"/>
    <w:rsid w:val="001C291D"/>
    <w:rsid w:val="001C5234"/>
    <w:rsid w:val="001C5AF5"/>
    <w:rsid w:val="001C685B"/>
    <w:rsid w:val="001D0837"/>
    <w:rsid w:val="001D3DE2"/>
    <w:rsid w:val="001D4B17"/>
    <w:rsid w:val="001E3809"/>
    <w:rsid w:val="001E406F"/>
    <w:rsid w:val="001F23ED"/>
    <w:rsid w:val="001F26F5"/>
    <w:rsid w:val="001F2F16"/>
    <w:rsid w:val="001F4C8A"/>
    <w:rsid w:val="001F5A3F"/>
    <w:rsid w:val="001F7AF1"/>
    <w:rsid w:val="0020060E"/>
    <w:rsid w:val="0020137B"/>
    <w:rsid w:val="00205140"/>
    <w:rsid w:val="00206563"/>
    <w:rsid w:val="00206A39"/>
    <w:rsid w:val="0020740E"/>
    <w:rsid w:val="0021793B"/>
    <w:rsid w:val="0022181A"/>
    <w:rsid w:val="00225D3D"/>
    <w:rsid w:val="002262EF"/>
    <w:rsid w:val="00231B57"/>
    <w:rsid w:val="00232447"/>
    <w:rsid w:val="00232803"/>
    <w:rsid w:val="00232E0E"/>
    <w:rsid w:val="00232E78"/>
    <w:rsid w:val="002405B5"/>
    <w:rsid w:val="00242C2E"/>
    <w:rsid w:val="002435DB"/>
    <w:rsid w:val="00245C37"/>
    <w:rsid w:val="0025203F"/>
    <w:rsid w:val="002532B3"/>
    <w:rsid w:val="00260F96"/>
    <w:rsid w:val="00261E8B"/>
    <w:rsid w:val="00262607"/>
    <w:rsid w:val="00264550"/>
    <w:rsid w:val="00264D7C"/>
    <w:rsid w:val="00265CD2"/>
    <w:rsid w:val="00266327"/>
    <w:rsid w:val="00267337"/>
    <w:rsid w:val="00270E69"/>
    <w:rsid w:val="00273051"/>
    <w:rsid w:val="0027330B"/>
    <w:rsid w:val="002753A3"/>
    <w:rsid w:val="0027585A"/>
    <w:rsid w:val="00276C25"/>
    <w:rsid w:val="00277A6B"/>
    <w:rsid w:val="00284668"/>
    <w:rsid w:val="002851D7"/>
    <w:rsid w:val="00285202"/>
    <w:rsid w:val="00287525"/>
    <w:rsid w:val="002905BF"/>
    <w:rsid w:val="002907DC"/>
    <w:rsid w:val="002916BF"/>
    <w:rsid w:val="0029179F"/>
    <w:rsid w:val="002925DA"/>
    <w:rsid w:val="002926BE"/>
    <w:rsid w:val="00292B1F"/>
    <w:rsid w:val="00292E50"/>
    <w:rsid w:val="00294037"/>
    <w:rsid w:val="00295436"/>
    <w:rsid w:val="0029595F"/>
    <w:rsid w:val="00296338"/>
    <w:rsid w:val="00297F4C"/>
    <w:rsid w:val="002A06C3"/>
    <w:rsid w:val="002A0F55"/>
    <w:rsid w:val="002A2DF8"/>
    <w:rsid w:val="002A4F04"/>
    <w:rsid w:val="002A54E7"/>
    <w:rsid w:val="002A7BA9"/>
    <w:rsid w:val="002B0AF2"/>
    <w:rsid w:val="002B5968"/>
    <w:rsid w:val="002B598C"/>
    <w:rsid w:val="002B6F0B"/>
    <w:rsid w:val="002C0244"/>
    <w:rsid w:val="002C0E7F"/>
    <w:rsid w:val="002C19B0"/>
    <w:rsid w:val="002C445E"/>
    <w:rsid w:val="002D2B72"/>
    <w:rsid w:val="002D53DC"/>
    <w:rsid w:val="002D5402"/>
    <w:rsid w:val="002D5793"/>
    <w:rsid w:val="002D59B5"/>
    <w:rsid w:val="002D65A5"/>
    <w:rsid w:val="002E0665"/>
    <w:rsid w:val="002E1CA8"/>
    <w:rsid w:val="002E5F20"/>
    <w:rsid w:val="002E7A30"/>
    <w:rsid w:val="002E7E8D"/>
    <w:rsid w:val="002F1017"/>
    <w:rsid w:val="002F5EAE"/>
    <w:rsid w:val="00302012"/>
    <w:rsid w:val="00303A47"/>
    <w:rsid w:val="00304806"/>
    <w:rsid w:val="00307728"/>
    <w:rsid w:val="00326C43"/>
    <w:rsid w:val="00327611"/>
    <w:rsid w:val="00332598"/>
    <w:rsid w:val="00332659"/>
    <w:rsid w:val="0033283A"/>
    <w:rsid w:val="003331AC"/>
    <w:rsid w:val="00333321"/>
    <w:rsid w:val="00333C15"/>
    <w:rsid w:val="00336C80"/>
    <w:rsid w:val="003419D2"/>
    <w:rsid w:val="0034243B"/>
    <w:rsid w:val="0034248B"/>
    <w:rsid w:val="00345F04"/>
    <w:rsid w:val="003466DB"/>
    <w:rsid w:val="00346ADF"/>
    <w:rsid w:val="00352824"/>
    <w:rsid w:val="00353527"/>
    <w:rsid w:val="00357097"/>
    <w:rsid w:val="0036104F"/>
    <w:rsid w:val="003619DE"/>
    <w:rsid w:val="00361DFE"/>
    <w:rsid w:val="0036299E"/>
    <w:rsid w:val="00362A4E"/>
    <w:rsid w:val="0036303A"/>
    <w:rsid w:val="00363A81"/>
    <w:rsid w:val="0036528A"/>
    <w:rsid w:val="00365D79"/>
    <w:rsid w:val="00365E1C"/>
    <w:rsid w:val="0037102D"/>
    <w:rsid w:val="003726F5"/>
    <w:rsid w:val="003749F7"/>
    <w:rsid w:val="00375383"/>
    <w:rsid w:val="00376D26"/>
    <w:rsid w:val="0037794C"/>
    <w:rsid w:val="00384F38"/>
    <w:rsid w:val="00386B0B"/>
    <w:rsid w:val="00392AE8"/>
    <w:rsid w:val="00393A66"/>
    <w:rsid w:val="00394A15"/>
    <w:rsid w:val="00396824"/>
    <w:rsid w:val="003A1991"/>
    <w:rsid w:val="003A24D1"/>
    <w:rsid w:val="003A3E1B"/>
    <w:rsid w:val="003A3F7F"/>
    <w:rsid w:val="003A4B4E"/>
    <w:rsid w:val="003A745C"/>
    <w:rsid w:val="003B32B6"/>
    <w:rsid w:val="003B332A"/>
    <w:rsid w:val="003B3E7B"/>
    <w:rsid w:val="003B71FB"/>
    <w:rsid w:val="003C1571"/>
    <w:rsid w:val="003C408C"/>
    <w:rsid w:val="003C7224"/>
    <w:rsid w:val="003D26A9"/>
    <w:rsid w:val="003D33F0"/>
    <w:rsid w:val="003D40B2"/>
    <w:rsid w:val="003D50CA"/>
    <w:rsid w:val="003D7FBF"/>
    <w:rsid w:val="003D7FE6"/>
    <w:rsid w:val="003E05D0"/>
    <w:rsid w:val="003E0AF2"/>
    <w:rsid w:val="003E1146"/>
    <w:rsid w:val="003E3A8A"/>
    <w:rsid w:val="003E3E2D"/>
    <w:rsid w:val="003E42BD"/>
    <w:rsid w:val="003E6370"/>
    <w:rsid w:val="003F26E4"/>
    <w:rsid w:val="003F298F"/>
    <w:rsid w:val="003F2990"/>
    <w:rsid w:val="003F4ADE"/>
    <w:rsid w:val="003F5BCB"/>
    <w:rsid w:val="003F676E"/>
    <w:rsid w:val="003F6A1A"/>
    <w:rsid w:val="003F6B10"/>
    <w:rsid w:val="00400360"/>
    <w:rsid w:val="00401C62"/>
    <w:rsid w:val="00402E48"/>
    <w:rsid w:val="00405004"/>
    <w:rsid w:val="00405A23"/>
    <w:rsid w:val="0040632C"/>
    <w:rsid w:val="00406A2B"/>
    <w:rsid w:val="00414733"/>
    <w:rsid w:val="0041474B"/>
    <w:rsid w:val="00415358"/>
    <w:rsid w:val="00417587"/>
    <w:rsid w:val="0042078D"/>
    <w:rsid w:val="00421FA2"/>
    <w:rsid w:val="00427BD0"/>
    <w:rsid w:val="00433D16"/>
    <w:rsid w:val="004343C4"/>
    <w:rsid w:val="00434482"/>
    <w:rsid w:val="00435E5E"/>
    <w:rsid w:val="004413AB"/>
    <w:rsid w:val="00444BF3"/>
    <w:rsid w:val="00444E37"/>
    <w:rsid w:val="004470D6"/>
    <w:rsid w:val="00447DAC"/>
    <w:rsid w:val="00452291"/>
    <w:rsid w:val="004527F7"/>
    <w:rsid w:val="00454140"/>
    <w:rsid w:val="004547EB"/>
    <w:rsid w:val="00460FB4"/>
    <w:rsid w:val="00464B45"/>
    <w:rsid w:val="004706D4"/>
    <w:rsid w:val="0047192E"/>
    <w:rsid w:val="0047377A"/>
    <w:rsid w:val="00474F20"/>
    <w:rsid w:val="00475BE6"/>
    <w:rsid w:val="00477FE1"/>
    <w:rsid w:val="0048281B"/>
    <w:rsid w:val="00484931"/>
    <w:rsid w:val="004864C6"/>
    <w:rsid w:val="00486B4F"/>
    <w:rsid w:val="004931E5"/>
    <w:rsid w:val="00496698"/>
    <w:rsid w:val="00497A36"/>
    <w:rsid w:val="004A0B31"/>
    <w:rsid w:val="004A1BC1"/>
    <w:rsid w:val="004A30BF"/>
    <w:rsid w:val="004A37E6"/>
    <w:rsid w:val="004A48F7"/>
    <w:rsid w:val="004A5776"/>
    <w:rsid w:val="004A57CA"/>
    <w:rsid w:val="004B182B"/>
    <w:rsid w:val="004B1F8F"/>
    <w:rsid w:val="004C377D"/>
    <w:rsid w:val="004C3815"/>
    <w:rsid w:val="004C46FD"/>
    <w:rsid w:val="004C4F35"/>
    <w:rsid w:val="004C5073"/>
    <w:rsid w:val="004C6018"/>
    <w:rsid w:val="004D064B"/>
    <w:rsid w:val="004D1D3E"/>
    <w:rsid w:val="004D468F"/>
    <w:rsid w:val="004D5B39"/>
    <w:rsid w:val="004D5D50"/>
    <w:rsid w:val="004D7EC6"/>
    <w:rsid w:val="004F2E7F"/>
    <w:rsid w:val="004F5DE1"/>
    <w:rsid w:val="004F5EE1"/>
    <w:rsid w:val="0050206E"/>
    <w:rsid w:val="005020F9"/>
    <w:rsid w:val="00503081"/>
    <w:rsid w:val="005057DC"/>
    <w:rsid w:val="0050774F"/>
    <w:rsid w:val="005110B4"/>
    <w:rsid w:val="00512847"/>
    <w:rsid w:val="005161F3"/>
    <w:rsid w:val="00520E4F"/>
    <w:rsid w:val="00521E48"/>
    <w:rsid w:val="00522B77"/>
    <w:rsid w:val="00524B14"/>
    <w:rsid w:val="00524D6B"/>
    <w:rsid w:val="00525361"/>
    <w:rsid w:val="00526EF8"/>
    <w:rsid w:val="00530D4E"/>
    <w:rsid w:val="00532582"/>
    <w:rsid w:val="005335C4"/>
    <w:rsid w:val="00534E1D"/>
    <w:rsid w:val="00535A9A"/>
    <w:rsid w:val="005406E2"/>
    <w:rsid w:val="00540919"/>
    <w:rsid w:val="00540E15"/>
    <w:rsid w:val="00540FB6"/>
    <w:rsid w:val="00541F15"/>
    <w:rsid w:val="005449AC"/>
    <w:rsid w:val="00547443"/>
    <w:rsid w:val="00552B9B"/>
    <w:rsid w:val="00561877"/>
    <w:rsid w:val="0056229D"/>
    <w:rsid w:val="00562CBA"/>
    <w:rsid w:val="00572947"/>
    <w:rsid w:val="00574FFF"/>
    <w:rsid w:val="00575B6A"/>
    <w:rsid w:val="0057715D"/>
    <w:rsid w:val="00577696"/>
    <w:rsid w:val="00584457"/>
    <w:rsid w:val="0058544F"/>
    <w:rsid w:val="00585571"/>
    <w:rsid w:val="005948E1"/>
    <w:rsid w:val="00594963"/>
    <w:rsid w:val="005952D7"/>
    <w:rsid w:val="00595D0C"/>
    <w:rsid w:val="005971ED"/>
    <w:rsid w:val="00597AD5"/>
    <w:rsid w:val="005A0AF6"/>
    <w:rsid w:val="005A0CA2"/>
    <w:rsid w:val="005A0D39"/>
    <w:rsid w:val="005A0F08"/>
    <w:rsid w:val="005A160A"/>
    <w:rsid w:val="005A5CF5"/>
    <w:rsid w:val="005B1851"/>
    <w:rsid w:val="005B3388"/>
    <w:rsid w:val="005B4D6C"/>
    <w:rsid w:val="005B621B"/>
    <w:rsid w:val="005C032D"/>
    <w:rsid w:val="005C2A40"/>
    <w:rsid w:val="005C4191"/>
    <w:rsid w:val="005C4535"/>
    <w:rsid w:val="005D039D"/>
    <w:rsid w:val="005D0C8E"/>
    <w:rsid w:val="005D2FF7"/>
    <w:rsid w:val="005D3B26"/>
    <w:rsid w:val="005E3F53"/>
    <w:rsid w:val="005E61DC"/>
    <w:rsid w:val="005E6359"/>
    <w:rsid w:val="005E730D"/>
    <w:rsid w:val="005E74A5"/>
    <w:rsid w:val="005F0B25"/>
    <w:rsid w:val="005F0BE7"/>
    <w:rsid w:val="005F43BB"/>
    <w:rsid w:val="005F4B58"/>
    <w:rsid w:val="005F5917"/>
    <w:rsid w:val="005F7D1E"/>
    <w:rsid w:val="00604755"/>
    <w:rsid w:val="006058B6"/>
    <w:rsid w:val="00606B9A"/>
    <w:rsid w:val="00610271"/>
    <w:rsid w:val="00610591"/>
    <w:rsid w:val="006120DD"/>
    <w:rsid w:val="00614F7C"/>
    <w:rsid w:val="00616B86"/>
    <w:rsid w:val="00617063"/>
    <w:rsid w:val="006277A1"/>
    <w:rsid w:val="00634997"/>
    <w:rsid w:val="00640FA0"/>
    <w:rsid w:val="00641C62"/>
    <w:rsid w:val="00642E0E"/>
    <w:rsid w:val="006547F4"/>
    <w:rsid w:val="00657023"/>
    <w:rsid w:val="00660371"/>
    <w:rsid w:val="0066238E"/>
    <w:rsid w:val="00664FE6"/>
    <w:rsid w:val="00665455"/>
    <w:rsid w:val="00665D13"/>
    <w:rsid w:val="00670F31"/>
    <w:rsid w:val="00672D52"/>
    <w:rsid w:val="0067359F"/>
    <w:rsid w:val="0067540B"/>
    <w:rsid w:val="006803B1"/>
    <w:rsid w:val="00681791"/>
    <w:rsid w:val="00681EC4"/>
    <w:rsid w:val="00682D03"/>
    <w:rsid w:val="006837E5"/>
    <w:rsid w:val="00683917"/>
    <w:rsid w:val="006844F7"/>
    <w:rsid w:val="006866FB"/>
    <w:rsid w:val="006875E0"/>
    <w:rsid w:val="006959F1"/>
    <w:rsid w:val="00696875"/>
    <w:rsid w:val="0069792A"/>
    <w:rsid w:val="006A158E"/>
    <w:rsid w:val="006A51BA"/>
    <w:rsid w:val="006B024C"/>
    <w:rsid w:val="006B309F"/>
    <w:rsid w:val="006B4F78"/>
    <w:rsid w:val="006B5928"/>
    <w:rsid w:val="006B5ED5"/>
    <w:rsid w:val="006D0071"/>
    <w:rsid w:val="006D04CD"/>
    <w:rsid w:val="006D1025"/>
    <w:rsid w:val="006D1A98"/>
    <w:rsid w:val="006D2276"/>
    <w:rsid w:val="006D53FE"/>
    <w:rsid w:val="006D63A6"/>
    <w:rsid w:val="006D6B45"/>
    <w:rsid w:val="006E1D5E"/>
    <w:rsid w:val="006E2E0A"/>
    <w:rsid w:val="006E3CEC"/>
    <w:rsid w:val="006E4EB8"/>
    <w:rsid w:val="006E7E0B"/>
    <w:rsid w:val="006F11F1"/>
    <w:rsid w:val="006F1D0A"/>
    <w:rsid w:val="006F2B4F"/>
    <w:rsid w:val="006F7349"/>
    <w:rsid w:val="00700F91"/>
    <w:rsid w:val="007031E7"/>
    <w:rsid w:val="007069AF"/>
    <w:rsid w:val="007073FA"/>
    <w:rsid w:val="00714881"/>
    <w:rsid w:val="00714AC6"/>
    <w:rsid w:val="00714F38"/>
    <w:rsid w:val="00720B1E"/>
    <w:rsid w:val="00721BD5"/>
    <w:rsid w:val="007238BC"/>
    <w:rsid w:val="00724C23"/>
    <w:rsid w:val="0072759B"/>
    <w:rsid w:val="007335E0"/>
    <w:rsid w:val="00734F45"/>
    <w:rsid w:val="00735239"/>
    <w:rsid w:val="0073598F"/>
    <w:rsid w:val="00744E0D"/>
    <w:rsid w:val="007454A5"/>
    <w:rsid w:val="0074569A"/>
    <w:rsid w:val="007465BD"/>
    <w:rsid w:val="007478DC"/>
    <w:rsid w:val="00754AA3"/>
    <w:rsid w:val="007559E6"/>
    <w:rsid w:val="00764588"/>
    <w:rsid w:val="00766156"/>
    <w:rsid w:val="0076714B"/>
    <w:rsid w:val="0077168C"/>
    <w:rsid w:val="00772CEA"/>
    <w:rsid w:val="00773405"/>
    <w:rsid w:val="007777FA"/>
    <w:rsid w:val="007809E4"/>
    <w:rsid w:val="007814AB"/>
    <w:rsid w:val="007866CB"/>
    <w:rsid w:val="00786D51"/>
    <w:rsid w:val="0079023C"/>
    <w:rsid w:val="00791722"/>
    <w:rsid w:val="0079183F"/>
    <w:rsid w:val="0079188D"/>
    <w:rsid w:val="00794D3B"/>
    <w:rsid w:val="007951DF"/>
    <w:rsid w:val="00795B19"/>
    <w:rsid w:val="00796DE1"/>
    <w:rsid w:val="00796E02"/>
    <w:rsid w:val="0079798A"/>
    <w:rsid w:val="007A149D"/>
    <w:rsid w:val="007A261E"/>
    <w:rsid w:val="007A26B2"/>
    <w:rsid w:val="007A2D0E"/>
    <w:rsid w:val="007A3262"/>
    <w:rsid w:val="007A695A"/>
    <w:rsid w:val="007A699A"/>
    <w:rsid w:val="007B4AE3"/>
    <w:rsid w:val="007B7815"/>
    <w:rsid w:val="007C139B"/>
    <w:rsid w:val="007C2311"/>
    <w:rsid w:val="007C2BF3"/>
    <w:rsid w:val="007C5CB3"/>
    <w:rsid w:val="007C7E93"/>
    <w:rsid w:val="007D1003"/>
    <w:rsid w:val="007D2BE3"/>
    <w:rsid w:val="007D46CB"/>
    <w:rsid w:val="007D7643"/>
    <w:rsid w:val="007E1415"/>
    <w:rsid w:val="007E239F"/>
    <w:rsid w:val="007E4CFD"/>
    <w:rsid w:val="007E6C93"/>
    <w:rsid w:val="007F3B73"/>
    <w:rsid w:val="007F46E3"/>
    <w:rsid w:val="0080291E"/>
    <w:rsid w:val="00802A07"/>
    <w:rsid w:val="00804CD4"/>
    <w:rsid w:val="008051C1"/>
    <w:rsid w:val="00812ED6"/>
    <w:rsid w:val="00814631"/>
    <w:rsid w:val="00816DCC"/>
    <w:rsid w:val="00817367"/>
    <w:rsid w:val="0082036E"/>
    <w:rsid w:val="00823260"/>
    <w:rsid w:val="00826DE1"/>
    <w:rsid w:val="00827910"/>
    <w:rsid w:val="00831F97"/>
    <w:rsid w:val="00834259"/>
    <w:rsid w:val="00834867"/>
    <w:rsid w:val="0083489F"/>
    <w:rsid w:val="00835422"/>
    <w:rsid w:val="00835ACE"/>
    <w:rsid w:val="008372F6"/>
    <w:rsid w:val="00837321"/>
    <w:rsid w:val="00837F4D"/>
    <w:rsid w:val="00844094"/>
    <w:rsid w:val="00846BAD"/>
    <w:rsid w:val="00852694"/>
    <w:rsid w:val="00852F8F"/>
    <w:rsid w:val="008541E6"/>
    <w:rsid w:val="00860049"/>
    <w:rsid w:val="00861405"/>
    <w:rsid w:val="008631A6"/>
    <w:rsid w:val="00864212"/>
    <w:rsid w:val="008647A5"/>
    <w:rsid w:val="00864B54"/>
    <w:rsid w:val="0086525A"/>
    <w:rsid w:val="00870DA9"/>
    <w:rsid w:val="00872F74"/>
    <w:rsid w:val="0087386D"/>
    <w:rsid w:val="0087499E"/>
    <w:rsid w:val="0087647F"/>
    <w:rsid w:val="00877287"/>
    <w:rsid w:val="00880F78"/>
    <w:rsid w:val="00887161"/>
    <w:rsid w:val="00891B38"/>
    <w:rsid w:val="008A02A0"/>
    <w:rsid w:val="008A314B"/>
    <w:rsid w:val="008A31DC"/>
    <w:rsid w:val="008A45CB"/>
    <w:rsid w:val="008A4C39"/>
    <w:rsid w:val="008A7934"/>
    <w:rsid w:val="008B4648"/>
    <w:rsid w:val="008B4DDD"/>
    <w:rsid w:val="008B528A"/>
    <w:rsid w:val="008B62B5"/>
    <w:rsid w:val="008B7E55"/>
    <w:rsid w:val="008C43AF"/>
    <w:rsid w:val="008D5D0B"/>
    <w:rsid w:val="008D7650"/>
    <w:rsid w:val="008D7CA5"/>
    <w:rsid w:val="008E35E3"/>
    <w:rsid w:val="008E3CD7"/>
    <w:rsid w:val="008E483D"/>
    <w:rsid w:val="008F212E"/>
    <w:rsid w:val="008F30A6"/>
    <w:rsid w:val="008F339A"/>
    <w:rsid w:val="008F3BE5"/>
    <w:rsid w:val="008F4BE7"/>
    <w:rsid w:val="008F5F5C"/>
    <w:rsid w:val="008F7F02"/>
    <w:rsid w:val="00901025"/>
    <w:rsid w:val="009045BC"/>
    <w:rsid w:val="00904AFA"/>
    <w:rsid w:val="009052A3"/>
    <w:rsid w:val="00907335"/>
    <w:rsid w:val="009177E2"/>
    <w:rsid w:val="00920086"/>
    <w:rsid w:val="009239CC"/>
    <w:rsid w:val="009244BF"/>
    <w:rsid w:val="00933B01"/>
    <w:rsid w:val="00933E84"/>
    <w:rsid w:val="009355B0"/>
    <w:rsid w:val="00935BD5"/>
    <w:rsid w:val="00935CAC"/>
    <w:rsid w:val="00936530"/>
    <w:rsid w:val="009368C3"/>
    <w:rsid w:val="00941B43"/>
    <w:rsid w:val="009464AA"/>
    <w:rsid w:val="009465CE"/>
    <w:rsid w:val="00947274"/>
    <w:rsid w:val="00951101"/>
    <w:rsid w:val="00954599"/>
    <w:rsid w:val="00957567"/>
    <w:rsid w:val="009634EB"/>
    <w:rsid w:val="00966F6A"/>
    <w:rsid w:val="00970A6B"/>
    <w:rsid w:val="00971B4C"/>
    <w:rsid w:val="00981FF5"/>
    <w:rsid w:val="00982068"/>
    <w:rsid w:val="00982B23"/>
    <w:rsid w:val="009865BD"/>
    <w:rsid w:val="009908B4"/>
    <w:rsid w:val="00991EF6"/>
    <w:rsid w:val="0099317F"/>
    <w:rsid w:val="0099360A"/>
    <w:rsid w:val="00993926"/>
    <w:rsid w:val="009A0C3D"/>
    <w:rsid w:val="009A38AD"/>
    <w:rsid w:val="009A4413"/>
    <w:rsid w:val="009A64A0"/>
    <w:rsid w:val="009A7A1B"/>
    <w:rsid w:val="009B0F39"/>
    <w:rsid w:val="009B2A7F"/>
    <w:rsid w:val="009B2AA0"/>
    <w:rsid w:val="009B3A93"/>
    <w:rsid w:val="009B3F1B"/>
    <w:rsid w:val="009B3F93"/>
    <w:rsid w:val="009C088A"/>
    <w:rsid w:val="009C214B"/>
    <w:rsid w:val="009C3520"/>
    <w:rsid w:val="009C4D01"/>
    <w:rsid w:val="009C5507"/>
    <w:rsid w:val="009C6CFF"/>
    <w:rsid w:val="009D42FE"/>
    <w:rsid w:val="009D7A5A"/>
    <w:rsid w:val="009E230D"/>
    <w:rsid w:val="009E597F"/>
    <w:rsid w:val="009E5E65"/>
    <w:rsid w:val="009E5EE3"/>
    <w:rsid w:val="009E6953"/>
    <w:rsid w:val="009F00B2"/>
    <w:rsid w:val="009F099F"/>
    <w:rsid w:val="009F0B9F"/>
    <w:rsid w:val="009F0EFB"/>
    <w:rsid w:val="009F2C2E"/>
    <w:rsid w:val="009F335D"/>
    <w:rsid w:val="009F4316"/>
    <w:rsid w:val="009F5DD5"/>
    <w:rsid w:val="00A0341B"/>
    <w:rsid w:val="00A059D2"/>
    <w:rsid w:val="00A0630B"/>
    <w:rsid w:val="00A07258"/>
    <w:rsid w:val="00A202C4"/>
    <w:rsid w:val="00A21DF0"/>
    <w:rsid w:val="00A22385"/>
    <w:rsid w:val="00A2321D"/>
    <w:rsid w:val="00A257F9"/>
    <w:rsid w:val="00A26D9D"/>
    <w:rsid w:val="00A31410"/>
    <w:rsid w:val="00A3160A"/>
    <w:rsid w:val="00A321CD"/>
    <w:rsid w:val="00A3320A"/>
    <w:rsid w:val="00A35F97"/>
    <w:rsid w:val="00A4038F"/>
    <w:rsid w:val="00A42B9A"/>
    <w:rsid w:val="00A42D5B"/>
    <w:rsid w:val="00A42F7B"/>
    <w:rsid w:val="00A441DE"/>
    <w:rsid w:val="00A44BCE"/>
    <w:rsid w:val="00A44D2D"/>
    <w:rsid w:val="00A45D4B"/>
    <w:rsid w:val="00A46F6E"/>
    <w:rsid w:val="00A51E09"/>
    <w:rsid w:val="00A54B0C"/>
    <w:rsid w:val="00A57EDA"/>
    <w:rsid w:val="00A60213"/>
    <w:rsid w:val="00A613A4"/>
    <w:rsid w:val="00A7048A"/>
    <w:rsid w:val="00A73801"/>
    <w:rsid w:val="00A73928"/>
    <w:rsid w:val="00A74027"/>
    <w:rsid w:val="00A80A54"/>
    <w:rsid w:val="00A840AE"/>
    <w:rsid w:val="00A86BA7"/>
    <w:rsid w:val="00A912E0"/>
    <w:rsid w:val="00A963B0"/>
    <w:rsid w:val="00A96E19"/>
    <w:rsid w:val="00AA3942"/>
    <w:rsid w:val="00AA39BC"/>
    <w:rsid w:val="00AA7808"/>
    <w:rsid w:val="00AB5D32"/>
    <w:rsid w:val="00AC212B"/>
    <w:rsid w:val="00AC2362"/>
    <w:rsid w:val="00AC2FBF"/>
    <w:rsid w:val="00AC41F0"/>
    <w:rsid w:val="00AC51D8"/>
    <w:rsid w:val="00AC6FD9"/>
    <w:rsid w:val="00AC75FA"/>
    <w:rsid w:val="00AD244C"/>
    <w:rsid w:val="00AD5E1C"/>
    <w:rsid w:val="00AE0632"/>
    <w:rsid w:val="00AE25B8"/>
    <w:rsid w:val="00AE3EB0"/>
    <w:rsid w:val="00AE422F"/>
    <w:rsid w:val="00AE4512"/>
    <w:rsid w:val="00AE61B4"/>
    <w:rsid w:val="00AF1564"/>
    <w:rsid w:val="00AF6BDA"/>
    <w:rsid w:val="00AF70A7"/>
    <w:rsid w:val="00B03A6E"/>
    <w:rsid w:val="00B03C7C"/>
    <w:rsid w:val="00B0586B"/>
    <w:rsid w:val="00B07B8E"/>
    <w:rsid w:val="00B10210"/>
    <w:rsid w:val="00B13383"/>
    <w:rsid w:val="00B13F08"/>
    <w:rsid w:val="00B15053"/>
    <w:rsid w:val="00B1507B"/>
    <w:rsid w:val="00B150BE"/>
    <w:rsid w:val="00B161F7"/>
    <w:rsid w:val="00B17AE8"/>
    <w:rsid w:val="00B206DF"/>
    <w:rsid w:val="00B21405"/>
    <w:rsid w:val="00B2174F"/>
    <w:rsid w:val="00B24A0A"/>
    <w:rsid w:val="00B24B84"/>
    <w:rsid w:val="00B24C58"/>
    <w:rsid w:val="00B27CF0"/>
    <w:rsid w:val="00B303F1"/>
    <w:rsid w:val="00B3126D"/>
    <w:rsid w:val="00B33670"/>
    <w:rsid w:val="00B33A71"/>
    <w:rsid w:val="00B42B28"/>
    <w:rsid w:val="00B432E6"/>
    <w:rsid w:val="00B44635"/>
    <w:rsid w:val="00B452A7"/>
    <w:rsid w:val="00B5369C"/>
    <w:rsid w:val="00B55B73"/>
    <w:rsid w:val="00B61513"/>
    <w:rsid w:val="00B61F0A"/>
    <w:rsid w:val="00B647FD"/>
    <w:rsid w:val="00B6588B"/>
    <w:rsid w:val="00B6665C"/>
    <w:rsid w:val="00B66674"/>
    <w:rsid w:val="00B70BF1"/>
    <w:rsid w:val="00B752FE"/>
    <w:rsid w:val="00B8083C"/>
    <w:rsid w:val="00B8240E"/>
    <w:rsid w:val="00B82F12"/>
    <w:rsid w:val="00B83823"/>
    <w:rsid w:val="00B87D71"/>
    <w:rsid w:val="00B935F0"/>
    <w:rsid w:val="00BA051B"/>
    <w:rsid w:val="00BA3732"/>
    <w:rsid w:val="00BA745B"/>
    <w:rsid w:val="00BA7B40"/>
    <w:rsid w:val="00BB08B6"/>
    <w:rsid w:val="00BB1257"/>
    <w:rsid w:val="00BB3743"/>
    <w:rsid w:val="00BB7E1A"/>
    <w:rsid w:val="00BC01AD"/>
    <w:rsid w:val="00BC1F4C"/>
    <w:rsid w:val="00BC302D"/>
    <w:rsid w:val="00BC5700"/>
    <w:rsid w:val="00BC5911"/>
    <w:rsid w:val="00BD1018"/>
    <w:rsid w:val="00BD1350"/>
    <w:rsid w:val="00BD3A3B"/>
    <w:rsid w:val="00BD3D1D"/>
    <w:rsid w:val="00BD642B"/>
    <w:rsid w:val="00BD7C56"/>
    <w:rsid w:val="00BE1919"/>
    <w:rsid w:val="00BE362A"/>
    <w:rsid w:val="00BF458B"/>
    <w:rsid w:val="00BF638E"/>
    <w:rsid w:val="00BF7241"/>
    <w:rsid w:val="00BF7481"/>
    <w:rsid w:val="00C01EB5"/>
    <w:rsid w:val="00C03F97"/>
    <w:rsid w:val="00C056C0"/>
    <w:rsid w:val="00C0717E"/>
    <w:rsid w:val="00C10778"/>
    <w:rsid w:val="00C10D4F"/>
    <w:rsid w:val="00C11AE9"/>
    <w:rsid w:val="00C13D47"/>
    <w:rsid w:val="00C164E0"/>
    <w:rsid w:val="00C17D65"/>
    <w:rsid w:val="00C22899"/>
    <w:rsid w:val="00C24612"/>
    <w:rsid w:val="00C24DB9"/>
    <w:rsid w:val="00C2578C"/>
    <w:rsid w:val="00C258A7"/>
    <w:rsid w:val="00C31912"/>
    <w:rsid w:val="00C33B2E"/>
    <w:rsid w:val="00C34494"/>
    <w:rsid w:val="00C344A9"/>
    <w:rsid w:val="00C36E13"/>
    <w:rsid w:val="00C371C4"/>
    <w:rsid w:val="00C43E14"/>
    <w:rsid w:val="00C44BE2"/>
    <w:rsid w:val="00C463D7"/>
    <w:rsid w:val="00C5057F"/>
    <w:rsid w:val="00C52133"/>
    <w:rsid w:val="00C52565"/>
    <w:rsid w:val="00C537BD"/>
    <w:rsid w:val="00C53FD8"/>
    <w:rsid w:val="00C544D2"/>
    <w:rsid w:val="00C56230"/>
    <w:rsid w:val="00C61112"/>
    <w:rsid w:val="00C636AA"/>
    <w:rsid w:val="00C65624"/>
    <w:rsid w:val="00C65E0A"/>
    <w:rsid w:val="00C71A62"/>
    <w:rsid w:val="00C72DDD"/>
    <w:rsid w:val="00C737A1"/>
    <w:rsid w:val="00C73947"/>
    <w:rsid w:val="00C75C39"/>
    <w:rsid w:val="00C7690F"/>
    <w:rsid w:val="00C833AC"/>
    <w:rsid w:val="00C84416"/>
    <w:rsid w:val="00C846E0"/>
    <w:rsid w:val="00C86ADE"/>
    <w:rsid w:val="00C8790B"/>
    <w:rsid w:val="00C910C5"/>
    <w:rsid w:val="00C91CF9"/>
    <w:rsid w:val="00C94958"/>
    <w:rsid w:val="00C97AD7"/>
    <w:rsid w:val="00CA32BF"/>
    <w:rsid w:val="00CA4007"/>
    <w:rsid w:val="00CB0D4D"/>
    <w:rsid w:val="00CB2491"/>
    <w:rsid w:val="00CB269B"/>
    <w:rsid w:val="00CC05CD"/>
    <w:rsid w:val="00CC44D2"/>
    <w:rsid w:val="00CC5F6F"/>
    <w:rsid w:val="00CD0861"/>
    <w:rsid w:val="00CD0942"/>
    <w:rsid w:val="00CD12EC"/>
    <w:rsid w:val="00CD2BC9"/>
    <w:rsid w:val="00CD406E"/>
    <w:rsid w:val="00CD77F0"/>
    <w:rsid w:val="00CD7920"/>
    <w:rsid w:val="00CE5337"/>
    <w:rsid w:val="00CE5741"/>
    <w:rsid w:val="00CE5AAA"/>
    <w:rsid w:val="00CE5D7B"/>
    <w:rsid w:val="00CF012F"/>
    <w:rsid w:val="00CF118D"/>
    <w:rsid w:val="00CF15AF"/>
    <w:rsid w:val="00CF41B6"/>
    <w:rsid w:val="00CF4520"/>
    <w:rsid w:val="00CF45B3"/>
    <w:rsid w:val="00CF571E"/>
    <w:rsid w:val="00D0067E"/>
    <w:rsid w:val="00D023E5"/>
    <w:rsid w:val="00D04C16"/>
    <w:rsid w:val="00D05FA8"/>
    <w:rsid w:val="00D06A4C"/>
    <w:rsid w:val="00D1035C"/>
    <w:rsid w:val="00D114F7"/>
    <w:rsid w:val="00D119A0"/>
    <w:rsid w:val="00D119C8"/>
    <w:rsid w:val="00D13ADC"/>
    <w:rsid w:val="00D17DA1"/>
    <w:rsid w:val="00D24FDD"/>
    <w:rsid w:val="00D26EE3"/>
    <w:rsid w:val="00D30D08"/>
    <w:rsid w:val="00D30FD1"/>
    <w:rsid w:val="00D3107F"/>
    <w:rsid w:val="00D368CE"/>
    <w:rsid w:val="00D37CC5"/>
    <w:rsid w:val="00D435BD"/>
    <w:rsid w:val="00D450B6"/>
    <w:rsid w:val="00D50E46"/>
    <w:rsid w:val="00D53360"/>
    <w:rsid w:val="00D5589D"/>
    <w:rsid w:val="00D65457"/>
    <w:rsid w:val="00D70860"/>
    <w:rsid w:val="00D71E0B"/>
    <w:rsid w:val="00D7257D"/>
    <w:rsid w:val="00D7371D"/>
    <w:rsid w:val="00D762A7"/>
    <w:rsid w:val="00D837CE"/>
    <w:rsid w:val="00D867DA"/>
    <w:rsid w:val="00D87AF2"/>
    <w:rsid w:val="00D90E96"/>
    <w:rsid w:val="00D9549F"/>
    <w:rsid w:val="00D9558E"/>
    <w:rsid w:val="00DA0A1F"/>
    <w:rsid w:val="00DA5A4B"/>
    <w:rsid w:val="00DA5AA3"/>
    <w:rsid w:val="00DA5CCA"/>
    <w:rsid w:val="00DA6C13"/>
    <w:rsid w:val="00DA6C96"/>
    <w:rsid w:val="00DB09A3"/>
    <w:rsid w:val="00DB1E7D"/>
    <w:rsid w:val="00DB3719"/>
    <w:rsid w:val="00DB617D"/>
    <w:rsid w:val="00DB6E74"/>
    <w:rsid w:val="00DC6EA8"/>
    <w:rsid w:val="00DC7527"/>
    <w:rsid w:val="00DD1B4E"/>
    <w:rsid w:val="00DD1C7C"/>
    <w:rsid w:val="00DD2354"/>
    <w:rsid w:val="00DD3E56"/>
    <w:rsid w:val="00DD3EA7"/>
    <w:rsid w:val="00DD49BE"/>
    <w:rsid w:val="00DE02B8"/>
    <w:rsid w:val="00DE4273"/>
    <w:rsid w:val="00DE5E27"/>
    <w:rsid w:val="00DE62E3"/>
    <w:rsid w:val="00DE70A3"/>
    <w:rsid w:val="00DF0818"/>
    <w:rsid w:val="00DF166B"/>
    <w:rsid w:val="00DF1739"/>
    <w:rsid w:val="00DF17B8"/>
    <w:rsid w:val="00DF2B35"/>
    <w:rsid w:val="00DF2DEC"/>
    <w:rsid w:val="00DF49B4"/>
    <w:rsid w:val="00DF555D"/>
    <w:rsid w:val="00DF6802"/>
    <w:rsid w:val="00E03C7A"/>
    <w:rsid w:val="00E0437C"/>
    <w:rsid w:val="00E04384"/>
    <w:rsid w:val="00E05221"/>
    <w:rsid w:val="00E05F65"/>
    <w:rsid w:val="00E0614F"/>
    <w:rsid w:val="00E06151"/>
    <w:rsid w:val="00E0692C"/>
    <w:rsid w:val="00E11F98"/>
    <w:rsid w:val="00E17A74"/>
    <w:rsid w:val="00E22396"/>
    <w:rsid w:val="00E2483B"/>
    <w:rsid w:val="00E24BF9"/>
    <w:rsid w:val="00E30E04"/>
    <w:rsid w:val="00E32BDF"/>
    <w:rsid w:val="00E34456"/>
    <w:rsid w:val="00E34B12"/>
    <w:rsid w:val="00E35236"/>
    <w:rsid w:val="00E35342"/>
    <w:rsid w:val="00E3713B"/>
    <w:rsid w:val="00E410A6"/>
    <w:rsid w:val="00E47703"/>
    <w:rsid w:val="00E51B8B"/>
    <w:rsid w:val="00E521EB"/>
    <w:rsid w:val="00E54173"/>
    <w:rsid w:val="00E60D8A"/>
    <w:rsid w:val="00E6250B"/>
    <w:rsid w:val="00E63F8A"/>
    <w:rsid w:val="00E6420C"/>
    <w:rsid w:val="00E64528"/>
    <w:rsid w:val="00E65E1D"/>
    <w:rsid w:val="00E750BF"/>
    <w:rsid w:val="00E7660F"/>
    <w:rsid w:val="00E7770E"/>
    <w:rsid w:val="00E81F9F"/>
    <w:rsid w:val="00E832BC"/>
    <w:rsid w:val="00E8553B"/>
    <w:rsid w:val="00E87329"/>
    <w:rsid w:val="00E87AE3"/>
    <w:rsid w:val="00E92E63"/>
    <w:rsid w:val="00E94164"/>
    <w:rsid w:val="00E950DD"/>
    <w:rsid w:val="00E951BE"/>
    <w:rsid w:val="00E9544F"/>
    <w:rsid w:val="00EA05CE"/>
    <w:rsid w:val="00EA120E"/>
    <w:rsid w:val="00EA2E02"/>
    <w:rsid w:val="00EA60D9"/>
    <w:rsid w:val="00EA7C90"/>
    <w:rsid w:val="00EB0EA5"/>
    <w:rsid w:val="00EB1390"/>
    <w:rsid w:val="00EB71B9"/>
    <w:rsid w:val="00EC0AB7"/>
    <w:rsid w:val="00EC1FBA"/>
    <w:rsid w:val="00EC5F97"/>
    <w:rsid w:val="00EC625F"/>
    <w:rsid w:val="00EC66D3"/>
    <w:rsid w:val="00EC7265"/>
    <w:rsid w:val="00EC7677"/>
    <w:rsid w:val="00EC775E"/>
    <w:rsid w:val="00ED1D93"/>
    <w:rsid w:val="00ED2D09"/>
    <w:rsid w:val="00ED4ACF"/>
    <w:rsid w:val="00ED6028"/>
    <w:rsid w:val="00ED6B39"/>
    <w:rsid w:val="00EE05D8"/>
    <w:rsid w:val="00EE0C60"/>
    <w:rsid w:val="00EE2422"/>
    <w:rsid w:val="00EE5E7D"/>
    <w:rsid w:val="00EE6D2D"/>
    <w:rsid w:val="00EF1667"/>
    <w:rsid w:val="00EF41EB"/>
    <w:rsid w:val="00EF479C"/>
    <w:rsid w:val="00EF6AA5"/>
    <w:rsid w:val="00F00371"/>
    <w:rsid w:val="00F02A40"/>
    <w:rsid w:val="00F03D01"/>
    <w:rsid w:val="00F04745"/>
    <w:rsid w:val="00F070BA"/>
    <w:rsid w:val="00F0778B"/>
    <w:rsid w:val="00F10105"/>
    <w:rsid w:val="00F113F7"/>
    <w:rsid w:val="00F162BF"/>
    <w:rsid w:val="00F17C4B"/>
    <w:rsid w:val="00F20E1C"/>
    <w:rsid w:val="00F23404"/>
    <w:rsid w:val="00F23BEA"/>
    <w:rsid w:val="00F314A8"/>
    <w:rsid w:val="00F31904"/>
    <w:rsid w:val="00F334E9"/>
    <w:rsid w:val="00F3627E"/>
    <w:rsid w:val="00F376AB"/>
    <w:rsid w:val="00F41AAB"/>
    <w:rsid w:val="00F4419A"/>
    <w:rsid w:val="00F47735"/>
    <w:rsid w:val="00F50E7E"/>
    <w:rsid w:val="00F51288"/>
    <w:rsid w:val="00F52D1D"/>
    <w:rsid w:val="00F53486"/>
    <w:rsid w:val="00F60147"/>
    <w:rsid w:val="00F605A0"/>
    <w:rsid w:val="00F60755"/>
    <w:rsid w:val="00F60D2E"/>
    <w:rsid w:val="00F64214"/>
    <w:rsid w:val="00F66CED"/>
    <w:rsid w:val="00F73A71"/>
    <w:rsid w:val="00F741D7"/>
    <w:rsid w:val="00F75D2F"/>
    <w:rsid w:val="00F825CD"/>
    <w:rsid w:val="00F83F51"/>
    <w:rsid w:val="00F840BF"/>
    <w:rsid w:val="00F8442B"/>
    <w:rsid w:val="00F84D79"/>
    <w:rsid w:val="00F85E7D"/>
    <w:rsid w:val="00F85F11"/>
    <w:rsid w:val="00F85F13"/>
    <w:rsid w:val="00F86493"/>
    <w:rsid w:val="00F87050"/>
    <w:rsid w:val="00F877D1"/>
    <w:rsid w:val="00F9556F"/>
    <w:rsid w:val="00F95EB1"/>
    <w:rsid w:val="00FA0FAE"/>
    <w:rsid w:val="00FA361C"/>
    <w:rsid w:val="00FA6373"/>
    <w:rsid w:val="00FA72E0"/>
    <w:rsid w:val="00FB0756"/>
    <w:rsid w:val="00FB158E"/>
    <w:rsid w:val="00FB2BF9"/>
    <w:rsid w:val="00FB4311"/>
    <w:rsid w:val="00FB44EC"/>
    <w:rsid w:val="00FB6673"/>
    <w:rsid w:val="00FC08F2"/>
    <w:rsid w:val="00FC2142"/>
    <w:rsid w:val="00FC22D7"/>
    <w:rsid w:val="00FC24A3"/>
    <w:rsid w:val="00FC4ED3"/>
    <w:rsid w:val="00FD2007"/>
    <w:rsid w:val="00FD25A6"/>
    <w:rsid w:val="00FD2C0B"/>
    <w:rsid w:val="00FD3ADA"/>
    <w:rsid w:val="00FD4073"/>
    <w:rsid w:val="00FD48F0"/>
    <w:rsid w:val="00FD7247"/>
    <w:rsid w:val="00FD7E11"/>
    <w:rsid w:val="00FE09FB"/>
    <w:rsid w:val="00FE2C04"/>
    <w:rsid w:val="00FE3ABB"/>
    <w:rsid w:val="00FE4543"/>
    <w:rsid w:val="00FE5D00"/>
    <w:rsid w:val="00FF0726"/>
    <w:rsid w:val="00FF26CA"/>
    <w:rsid w:val="00FF2724"/>
    <w:rsid w:val="00FF45FF"/>
    <w:rsid w:val="00FF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D4E6"/>
  <w15:chartTrackingRefBased/>
  <w15:docId w15:val="{E587367F-544A-402C-9E4D-63D0BA1A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2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32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34"/>
    <w:qFormat/>
    <w:rsid w:val="00DA5AA3"/>
    <w:pPr>
      <w:ind w:left="720"/>
      <w:contextualSpacing/>
    </w:pPr>
  </w:style>
  <w:style w:type="table" w:styleId="TableGrid">
    <w:name w:val="Table Grid"/>
    <w:basedOn w:val="TableNormal"/>
    <w:uiPriority w:val="39"/>
    <w:rsid w:val="005A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locked/>
    <w:rsid w:val="009A64A0"/>
  </w:style>
  <w:style w:type="paragraph" w:styleId="FootnoteText">
    <w:name w:val="footnote text"/>
    <w:basedOn w:val="Normal"/>
    <w:link w:val="FootnoteTextChar"/>
    <w:uiPriority w:val="99"/>
    <w:unhideWhenUsed/>
    <w:rsid w:val="00F825CD"/>
    <w:pPr>
      <w:spacing w:after="0" w:line="240" w:lineRule="auto"/>
    </w:pPr>
    <w:rPr>
      <w:sz w:val="20"/>
      <w:szCs w:val="20"/>
    </w:rPr>
  </w:style>
  <w:style w:type="character" w:customStyle="1" w:styleId="FootnoteTextChar">
    <w:name w:val="Footnote Text Char"/>
    <w:basedOn w:val="DefaultParagraphFont"/>
    <w:link w:val="FootnoteText"/>
    <w:uiPriority w:val="99"/>
    <w:rsid w:val="00F825CD"/>
    <w:rPr>
      <w:sz w:val="20"/>
      <w:szCs w:val="20"/>
    </w:rPr>
  </w:style>
  <w:style w:type="character" w:styleId="FootnoteReference">
    <w:name w:val="footnote reference"/>
    <w:basedOn w:val="DefaultParagraphFont"/>
    <w:uiPriority w:val="99"/>
    <w:semiHidden/>
    <w:unhideWhenUsed/>
    <w:rsid w:val="00F825CD"/>
    <w:rPr>
      <w:vertAlign w:val="superscript"/>
    </w:rPr>
  </w:style>
  <w:style w:type="character" w:styleId="Hyperlink">
    <w:name w:val="Hyperlink"/>
    <w:basedOn w:val="DefaultParagraphFont"/>
    <w:uiPriority w:val="99"/>
    <w:unhideWhenUsed/>
    <w:rsid w:val="00F825CD"/>
    <w:rPr>
      <w:color w:val="0563C1" w:themeColor="hyperlink"/>
      <w:u w:val="single"/>
    </w:rPr>
  </w:style>
  <w:style w:type="character" w:styleId="UnresolvedMention">
    <w:name w:val="Unresolved Mention"/>
    <w:basedOn w:val="DefaultParagraphFont"/>
    <w:uiPriority w:val="99"/>
    <w:semiHidden/>
    <w:unhideWhenUsed/>
    <w:rsid w:val="00F825CD"/>
    <w:rPr>
      <w:color w:val="605E5C"/>
      <w:shd w:val="clear" w:color="auto" w:fill="E1DFDD"/>
    </w:rPr>
  </w:style>
  <w:style w:type="character" w:customStyle="1" w:styleId="Heading2Char">
    <w:name w:val="Heading 2 Char"/>
    <w:basedOn w:val="DefaultParagraphFont"/>
    <w:link w:val="Heading2"/>
    <w:uiPriority w:val="9"/>
    <w:rsid w:val="0082326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2326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92DDD"/>
    <w:rPr>
      <w:color w:val="954F72" w:themeColor="followedHyperlink"/>
      <w:u w:val="single"/>
    </w:rPr>
  </w:style>
  <w:style w:type="paragraph" w:styleId="NormalWeb">
    <w:name w:val="Normal (Web)"/>
    <w:basedOn w:val="Normal"/>
    <w:uiPriority w:val="99"/>
    <w:semiHidden/>
    <w:unhideWhenUsed/>
    <w:rsid w:val="00D558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FB0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756"/>
  </w:style>
  <w:style w:type="paragraph" w:styleId="Footer">
    <w:name w:val="footer"/>
    <w:basedOn w:val="Normal"/>
    <w:link w:val="FooterChar"/>
    <w:uiPriority w:val="99"/>
    <w:unhideWhenUsed/>
    <w:rsid w:val="00FB0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756"/>
  </w:style>
  <w:style w:type="paragraph" w:styleId="TOCHeading">
    <w:name w:val="TOC Heading"/>
    <w:basedOn w:val="Heading1"/>
    <w:next w:val="Normal"/>
    <w:uiPriority w:val="39"/>
    <w:unhideWhenUsed/>
    <w:qFormat/>
    <w:rsid w:val="008E35E3"/>
    <w:pPr>
      <w:outlineLvl w:val="9"/>
    </w:pPr>
    <w:rPr>
      <w:kern w:val="0"/>
      <w:lang w:val="en-US"/>
      <w14:ligatures w14:val="none"/>
    </w:rPr>
  </w:style>
  <w:style w:type="paragraph" w:styleId="TOC1">
    <w:name w:val="toc 1"/>
    <w:basedOn w:val="Normal"/>
    <w:next w:val="Normal"/>
    <w:autoRedefine/>
    <w:uiPriority w:val="39"/>
    <w:unhideWhenUsed/>
    <w:rsid w:val="008E35E3"/>
    <w:pPr>
      <w:spacing w:after="100"/>
    </w:pPr>
  </w:style>
  <w:style w:type="paragraph" w:styleId="TOC2">
    <w:name w:val="toc 2"/>
    <w:basedOn w:val="Normal"/>
    <w:next w:val="Normal"/>
    <w:autoRedefine/>
    <w:uiPriority w:val="39"/>
    <w:unhideWhenUsed/>
    <w:rsid w:val="008E35E3"/>
    <w:pPr>
      <w:spacing w:after="100"/>
      <w:ind w:left="220"/>
    </w:pPr>
  </w:style>
  <w:style w:type="character" w:styleId="CommentReference">
    <w:name w:val="annotation reference"/>
    <w:basedOn w:val="DefaultParagraphFont"/>
    <w:uiPriority w:val="99"/>
    <w:semiHidden/>
    <w:unhideWhenUsed/>
    <w:rsid w:val="00E51B8B"/>
    <w:rPr>
      <w:sz w:val="16"/>
      <w:szCs w:val="16"/>
    </w:rPr>
  </w:style>
  <w:style w:type="paragraph" w:styleId="CommentText">
    <w:name w:val="annotation text"/>
    <w:basedOn w:val="Normal"/>
    <w:link w:val="CommentTextChar"/>
    <w:uiPriority w:val="99"/>
    <w:unhideWhenUsed/>
    <w:rsid w:val="00E51B8B"/>
    <w:pPr>
      <w:spacing w:line="240" w:lineRule="auto"/>
    </w:pPr>
    <w:rPr>
      <w:sz w:val="20"/>
      <w:szCs w:val="20"/>
    </w:rPr>
  </w:style>
  <w:style w:type="character" w:customStyle="1" w:styleId="CommentTextChar">
    <w:name w:val="Comment Text Char"/>
    <w:basedOn w:val="DefaultParagraphFont"/>
    <w:link w:val="CommentText"/>
    <w:uiPriority w:val="99"/>
    <w:rsid w:val="00E51B8B"/>
    <w:rPr>
      <w:sz w:val="20"/>
      <w:szCs w:val="20"/>
    </w:rPr>
  </w:style>
  <w:style w:type="paragraph" w:styleId="CommentSubject">
    <w:name w:val="annotation subject"/>
    <w:basedOn w:val="CommentText"/>
    <w:next w:val="CommentText"/>
    <w:link w:val="CommentSubjectChar"/>
    <w:uiPriority w:val="99"/>
    <w:semiHidden/>
    <w:unhideWhenUsed/>
    <w:rsid w:val="00E51B8B"/>
    <w:rPr>
      <w:b/>
      <w:bCs/>
    </w:rPr>
  </w:style>
  <w:style w:type="character" w:customStyle="1" w:styleId="CommentSubjectChar">
    <w:name w:val="Comment Subject Char"/>
    <w:basedOn w:val="CommentTextChar"/>
    <w:link w:val="CommentSubject"/>
    <w:uiPriority w:val="99"/>
    <w:semiHidden/>
    <w:rsid w:val="00E51B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399">
      <w:bodyDiv w:val="1"/>
      <w:marLeft w:val="0"/>
      <w:marRight w:val="0"/>
      <w:marTop w:val="0"/>
      <w:marBottom w:val="0"/>
      <w:divBdr>
        <w:top w:val="none" w:sz="0" w:space="0" w:color="auto"/>
        <w:left w:val="none" w:sz="0" w:space="0" w:color="auto"/>
        <w:bottom w:val="none" w:sz="0" w:space="0" w:color="auto"/>
        <w:right w:val="none" w:sz="0" w:space="0" w:color="auto"/>
      </w:divBdr>
    </w:div>
    <w:div w:id="225651927">
      <w:bodyDiv w:val="1"/>
      <w:marLeft w:val="0"/>
      <w:marRight w:val="0"/>
      <w:marTop w:val="0"/>
      <w:marBottom w:val="0"/>
      <w:divBdr>
        <w:top w:val="none" w:sz="0" w:space="0" w:color="auto"/>
        <w:left w:val="none" w:sz="0" w:space="0" w:color="auto"/>
        <w:bottom w:val="none" w:sz="0" w:space="0" w:color="auto"/>
        <w:right w:val="none" w:sz="0" w:space="0" w:color="auto"/>
      </w:divBdr>
    </w:div>
    <w:div w:id="302849532">
      <w:bodyDiv w:val="1"/>
      <w:marLeft w:val="0"/>
      <w:marRight w:val="0"/>
      <w:marTop w:val="0"/>
      <w:marBottom w:val="0"/>
      <w:divBdr>
        <w:top w:val="none" w:sz="0" w:space="0" w:color="auto"/>
        <w:left w:val="none" w:sz="0" w:space="0" w:color="auto"/>
        <w:bottom w:val="none" w:sz="0" w:space="0" w:color="auto"/>
        <w:right w:val="none" w:sz="0" w:space="0" w:color="auto"/>
      </w:divBdr>
    </w:div>
    <w:div w:id="325865140">
      <w:bodyDiv w:val="1"/>
      <w:marLeft w:val="0"/>
      <w:marRight w:val="0"/>
      <w:marTop w:val="0"/>
      <w:marBottom w:val="0"/>
      <w:divBdr>
        <w:top w:val="none" w:sz="0" w:space="0" w:color="auto"/>
        <w:left w:val="none" w:sz="0" w:space="0" w:color="auto"/>
        <w:bottom w:val="none" w:sz="0" w:space="0" w:color="auto"/>
        <w:right w:val="none" w:sz="0" w:space="0" w:color="auto"/>
      </w:divBdr>
    </w:div>
    <w:div w:id="441464098">
      <w:bodyDiv w:val="1"/>
      <w:marLeft w:val="0"/>
      <w:marRight w:val="0"/>
      <w:marTop w:val="0"/>
      <w:marBottom w:val="0"/>
      <w:divBdr>
        <w:top w:val="none" w:sz="0" w:space="0" w:color="auto"/>
        <w:left w:val="none" w:sz="0" w:space="0" w:color="auto"/>
        <w:bottom w:val="none" w:sz="0" w:space="0" w:color="auto"/>
        <w:right w:val="none" w:sz="0" w:space="0" w:color="auto"/>
      </w:divBdr>
    </w:div>
    <w:div w:id="462044584">
      <w:bodyDiv w:val="1"/>
      <w:marLeft w:val="0"/>
      <w:marRight w:val="0"/>
      <w:marTop w:val="0"/>
      <w:marBottom w:val="0"/>
      <w:divBdr>
        <w:top w:val="none" w:sz="0" w:space="0" w:color="auto"/>
        <w:left w:val="none" w:sz="0" w:space="0" w:color="auto"/>
        <w:bottom w:val="none" w:sz="0" w:space="0" w:color="auto"/>
        <w:right w:val="none" w:sz="0" w:space="0" w:color="auto"/>
      </w:divBdr>
    </w:div>
    <w:div w:id="580673948">
      <w:bodyDiv w:val="1"/>
      <w:marLeft w:val="0"/>
      <w:marRight w:val="0"/>
      <w:marTop w:val="0"/>
      <w:marBottom w:val="0"/>
      <w:divBdr>
        <w:top w:val="none" w:sz="0" w:space="0" w:color="auto"/>
        <w:left w:val="none" w:sz="0" w:space="0" w:color="auto"/>
        <w:bottom w:val="none" w:sz="0" w:space="0" w:color="auto"/>
        <w:right w:val="none" w:sz="0" w:space="0" w:color="auto"/>
      </w:divBdr>
    </w:div>
    <w:div w:id="1107507130">
      <w:bodyDiv w:val="1"/>
      <w:marLeft w:val="0"/>
      <w:marRight w:val="0"/>
      <w:marTop w:val="0"/>
      <w:marBottom w:val="0"/>
      <w:divBdr>
        <w:top w:val="none" w:sz="0" w:space="0" w:color="auto"/>
        <w:left w:val="none" w:sz="0" w:space="0" w:color="auto"/>
        <w:bottom w:val="none" w:sz="0" w:space="0" w:color="auto"/>
        <w:right w:val="none" w:sz="0" w:space="0" w:color="auto"/>
      </w:divBdr>
    </w:div>
    <w:div w:id="1666933393">
      <w:bodyDiv w:val="1"/>
      <w:marLeft w:val="0"/>
      <w:marRight w:val="0"/>
      <w:marTop w:val="0"/>
      <w:marBottom w:val="0"/>
      <w:divBdr>
        <w:top w:val="none" w:sz="0" w:space="0" w:color="auto"/>
        <w:left w:val="none" w:sz="0" w:space="0" w:color="auto"/>
        <w:bottom w:val="none" w:sz="0" w:space="0" w:color="auto"/>
        <w:right w:val="none" w:sz="0" w:space="0" w:color="auto"/>
      </w:divBdr>
    </w:div>
    <w:div w:id="1847595579">
      <w:bodyDiv w:val="1"/>
      <w:marLeft w:val="0"/>
      <w:marRight w:val="0"/>
      <w:marTop w:val="0"/>
      <w:marBottom w:val="0"/>
      <w:divBdr>
        <w:top w:val="none" w:sz="0" w:space="0" w:color="auto"/>
        <w:left w:val="none" w:sz="0" w:space="0" w:color="auto"/>
        <w:bottom w:val="none" w:sz="0" w:space="0" w:color="auto"/>
        <w:right w:val="none" w:sz="0" w:space="0" w:color="auto"/>
      </w:divBdr>
    </w:div>
    <w:div w:id="1905289676">
      <w:bodyDiv w:val="1"/>
      <w:marLeft w:val="0"/>
      <w:marRight w:val="0"/>
      <w:marTop w:val="0"/>
      <w:marBottom w:val="0"/>
      <w:divBdr>
        <w:top w:val="none" w:sz="0" w:space="0" w:color="auto"/>
        <w:left w:val="none" w:sz="0" w:space="0" w:color="auto"/>
        <w:bottom w:val="none" w:sz="0" w:space="0" w:color="auto"/>
        <w:right w:val="none" w:sz="0" w:space="0" w:color="auto"/>
      </w:divBdr>
      <w:divsChild>
        <w:div w:id="1030451210">
          <w:marLeft w:val="360"/>
          <w:marRight w:val="0"/>
          <w:marTop w:val="200"/>
          <w:marBottom w:val="0"/>
          <w:divBdr>
            <w:top w:val="none" w:sz="0" w:space="0" w:color="auto"/>
            <w:left w:val="none" w:sz="0" w:space="0" w:color="auto"/>
            <w:bottom w:val="none" w:sz="0" w:space="0" w:color="auto"/>
            <w:right w:val="none" w:sz="0" w:space="0" w:color="auto"/>
          </w:divBdr>
        </w:div>
        <w:div w:id="1152989780">
          <w:marLeft w:val="360"/>
          <w:marRight w:val="0"/>
          <w:marTop w:val="200"/>
          <w:marBottom w:val="0"/>
          <w:divBdr>
            <w:top w:val="none" w:sz="0" w:space="0" w:color="auto"/>
            <w:left w:val="none" w:sz="0" w:space="0" w:color="auto"/>
            <w:bottom w:val="none" w:sz="0" w:space="0" w:color="auto"/>
            <w:right w:val="none" w:sz="0" w:space="0" w:color="auto"/>
          </w:divBdr>
        </w:div>
        <w:div w:id="1853256548">
          <w:marLeft w:val="360"/>
          <w:marRight w:val="0"/>
          <w:marTop w:val="200"/>
          <w:marBottom w:val="0"/>
          <w:divBdr>
            <w:top w:val="none" w:sz="0" w:space="0" w:color="auto"/>
            <w:left w:val="none" w:sz="0" w:space="0" w:color="auto"/>
            <w:bottom w:val="none" w:sz="0" w:space="0" w:color="auto"/>
            <w:right w:val="none" w:sz="0" w:space="0" w:color="auto"/>
          </w:divBdr>
        </w:div>
      </w:divsChild>
    </w:div>
    <w:div w:id="1994751379">
      <w:bodyDiv w:val="1"/>
      <w:marLeft w:val="0"/>
      <w:marRight w:val="0"/>
      <w:marTop w:val="0"/>
      <w:marBottom w:val="0"/>
      <w:divBdr>
        <w:top w:val="none" w:sz="0" w:space="0" w:color="auto"/>
        <w:left w:val="none" w:sz="0" w:space="0" w:color="auto"/>
        <w:bottom w:val="none" w:sz="0" w:space="0" w:color="auto"/>
        <w:right w:val="none" w:sz="0" w:space="0" w:color="auto"/>
      </w:divBdr>
    </w:div>
    <w:div w:id="2127432262">
      <w:bodyDiv w:val="1"/>
      <w:marLeft w:val="0"/>
      <w:marRight w:val="0"/>
      <w:marTop w:val="0"/>
      <w:marBottom w:val="0"/>
      <w:divBdr>
        <w:top w:val="none" w:sz="0" w:space="0" w:color="auto"/>
        <w:left w:val="none" w:sz="0" w:space="0" w:color="auto"/>
        <w:bottom w:val="none" w:sz="0" w:space="0" w:color="auto"/>
        <w:right w:val="none" w:sz="0" w:space="0" w:color="auto"/>
      </w:divBdr>
    </w:div>
    <w:div w:id="2134324645">
      <w:bodyDiv w:val="1"/>
      <w:marLeft w:val="0"/>
      <w:marRight w:val="0"/>
      <w:marTop w:val="0"/>
      <w:marBottom w:val="0"/>
      <w:divBdr>
        <w:top w:val="none" w:sz="0" w:space="0" w:color="auto"/>
        <w:left w:val="none" w:sz="0" w:space="0" w:color="auto"/>
        <w:bottom w:val="none" w:sz="0" w:space="0" w:color="auto"/>
        <w:right w:val="none" w:sz="0" w:space="0" w:color="auto"/>
      </w:divBdr>
      <w:divsChild>
        <w:div w:id="570820360">
          <w:marLeft w:val="360"/>
          <w:marRight w:val="0"/>
          <w:marTop w:val="0"/>
          <w:marBottom w:val="0"/>
          <w:divBdr>
            <w:top w:val="none" w:sz="0" w:space="0" w:color="auto"/>
            <w:left w:val="none" w:sz="0" w:space="0" w:color="auto"/>
            <w:bottom w:val="none" w:sz="0" w:space="0" w:color="auto"/>
            <w:right w:val="none" w:sz="0" w:space="0" w:color="auto"/>
          </w:divBdr>
        </w:div>
        <w:div w:id="1910116797">
          <w:marLeft w:val="360"/>
          <w:marRight w:val="0"/>
          <w:marTop w:val="200"/>
          <w:marBottom w:val="0"/>
          <w:divBdr>
            <w:top w:val="none" w:sz="0" w:space="0" w:color="auto"/>
            <w:left w:val="none" w:sz="0" w:space="0" w:color="auto"/>
            <w:bottom w:val="none" w:sz="0" w:space="0" w:color="auto"/>
            <w:right w:val="none" w:sz="0" w:space="0" w:color="auto"/>
          </w:divBdr>
        </w:div>
        <w:div w:id="148253542">
          <w:marLeft w:val="360"/>
          <w:marRight w:val="0"/>
          <w:marTop w:val="0"/>
          <w:marBottom w:val="0"/>
          <w:divBdr>
            <w:top w:val="none" w:sz="0" w:space="0" w:color="auto"/>
            <w:left w:val="none" w:sz="0" w:space="0" w:color="auto"/>
            <w:bottom w:val="none" w:sz="0" w:space="0" w:color="auto"/>
            <w:right w:val="none" w:sz="0" w:space="0" w:color="auto"/>
          </w:divBdr>
        </w:div>
        <w:div w:id="8773542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47340/powering-up-britain-joint-overview.pdf" TargetMode="External"/><Relationship Id="rId13" Type="http://schemas.openxmlformats.org/officeDocument/2006/relationships/hyperlink" Target="https://www.gov.uk/government/publications/north-sea-transition-deal" TargetMode="External"/><Relationship Id="rId18" Type="http://schemas.openxmlformats.org/officeDocument/2006/relationships/hyperlink" Target="https://www.nssguk.com/media/2812/nwa-2021-issue-1.pdf" TargetMode="External"/><Relationship Id="rId3" Type="http://schemas.openxmlformats.org/officeDocument/2006/relationships/hyperlink" Target="https://www.gov.uk/government/publications/net-zero-strategy" TargetMode="External"/><Relationship Id="rId21" Type="http://schemas.openxmlformats.org/officeDocument/2006/relationships/hyperlink" Target="https://www.thecumbrialep.co.uk/skills/" TargetMode="External"/><Relationship Id="rId7" Type="http://schemas.openxmlformats.org/officeDocument/2006/relationships/hyperlink" Target="https://www.enwl.co.uk/globalassets/go-net-zero/net-zero/decarbonisation-pathways/cumbria-decarbonisation-pathway.pdf" TargetMode="External"/><Relationship Id="rId12" Type="http://schemas.openxmlformats.org/officeDocument/2006/relationships/hyperlink" Target="https://www.gov.uk/government/news/green-jobs-delivery-steps-up-a-gear" TargetMode="External"/><Relationship Id="rId17" Type="http://schemas.openxmlformats.org/officeDocument/2006/relationships/hyperlink" Target="https://www.nssguk.com/skills-strategy/skills-strategy-and-sector-deal/" TargetMode="External"/><Relationship Id="rId2" Type="http://schemas.openxmlformats.org/officeDocument/2006/relationships/hyperlink" Target="https://www.gov.uk/government/publications/the-ten-point-plan-for-a-green-industrial-revolution" TargetMode="External"/><Relationship Id="rId16" Type="http://schemas.openxmlformats.org/officeDocument/2006/relationships/hyperlink" Target="https://www.sizewellcconsortium.com/news/northernpledge" TargetMode="External"/><Relationship Id="rId20" Type="http://schemas.openxmlformats.org/officeDocument/2006/relationships/hyperlink" Target="https://www.nfer.ac.uk/key-topics-expertise/education-to-employment/the-skills-imperative-2035/" TargetMode="External"/><Relationship Id="rId1" Type="http://schemas.openxmlformats.org/officeDocument/2006/relationships/hyperlink" Target="https://www.thecumbrialep.co.uk/clean-energy/" TargetMode="External"/><Relationship Id="rId6" Type="http://schemas.openxmlformats.org/officeDocument/2006/relationships/hyperlink" Target="https://www.thecumbrialep.co.uk/news-detail/2022/business-decarbonisation-a-review-of-cumbria-energy-intensive-industries/" TargetMode="External"/><Relationship Id="rId11" Type="http://schemas.openxmlformats.org/officeDocument/2006/relationships/hyperlink" Target="https://www.gov.uk/government/publications/carbon-capture-usage-and-storage-net-zero-investment-roadmap" TargetMode="External"/><Relationship Id="rId5" Type="http://schemas.openxmlformats.org/officeDocument/2006/relationships/hyperlink" Target="https://www.thecumbrialep.co.uk/resources/uploads/pages/net_zero/2208-CumbriaCleanEnergyStrategy.pdf" TargetMode="External"/><Relationship Id="rId15" Type="http://schemas.openxmlformats.org/officeDocument/2006/relationships/hyperlink" Target="https://www.thecumbrialep.co.uk/resources/uploads/files/200707-Cumbria-Nuclear-Prospectus_Final.pdf" TargetMode="External"/><Relationship Id="rId10" Type="http://schemas.openxmlformats.org/officeDocument/2006/relationships/hyperlink" Target="https://cadentgas.com/tenpointplan" TargetMode="External"/><Relationship Id="rId19" Type="http://schemas.openxmlformats.org/officeDocument/2006/relationships/hyperlink" Target="https://media.nesta.org.uk/documents/Going_Green-_Preparing_the_UK_workforce_to_the_transition_to_a_net_zero_economy.June.2020.pdf" TargetMode="External"/><Relationship Id="rId4" Type="http://schemas.openxmlformats.org/officeDocument/2006/relationships/hyperlink" Target="https://www.gov.uk/government/publications/green-jobs-taskforce-report" TargetMode="External"/><Relationship Id="rId9" Type="http://schemas.openxmlformats.org/officeDocument/2006/relationships/hyperlink" Target="https://www.energynetworks.org/industry-hub/resource-library/a-hydrogen-vision-for-the-uk.pdf" TargetMode="External"/><Relationship Id="rId14" Type="http://schemas.openxmlformats.org/officeDocument/2006/relationships/hyperlink" Target="https://www.offshoreenergypeopleandskills.co.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thinktrinity-my.sharepoint.com/personal/james_farr_think_uk_com/Documents/Consultancy/Current%20projects/Cumbria%20Clean%20Energy/Data%20fi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thinktrinity-my.sharepoint.com/personal/james_farr_think_uk_com/Documents/Consultancy/Current%20projects/Cumbria%20Clean%20Energy/Data%20fil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US" sz="1050" b="1" dirty="0">
                <a:solidFill>
                  <a:schemeClr val="tx1"/>
                </a:solidFill>
                <a:latin typeface="Calibri" panose="020F0502020204030204" pitchFamily="34" charset="0"/>
                <a:ea typeface="Calibri" panose="020F0502020204030204" pitchFamily="34" charset="0"/>
                <a:cs typeface="Calibri" panose="020F0502020204030204" pitchFamily="34" charset="0"/>
              </a:rPr>
              <a:t>Figure 1: Cumbria greenhouse gas emissions estimates 2005-2020 (ktC02e)</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c:f>
              <c:strCache>
                <c:ptCount val="1"/>
                <c:pt idx="0">
                  <c:v>Industry and Commercial Total</c:v>
                </c:pt>
              </c:strCache>
            </c:strRef>
          </c:tx>
          <c:spPr>
            <a:solidFill>
              <a:schemeClr val="accent1"/>
            </a:solidFill>
            <a:ln>
              <a:noFill/>
            </a:ln>
            <a:effectLst/>
          </c:spPr>
          <c:invertIfNegative val="0"/>
          <c:cat>
            <c:numRef>
              <c:f>Sheet2!$B$2:$B$11</c:f>
              <c:numCache>
                <c:formatCode>0</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Sheet2!$C$2:$C$11</c:f>
              <c:numCache>
                <c:formatCode>#,##0.0</c:formatCode>
                <c:ptCount val="10"/>
                <c:pt idx="0">
                  <c:v>2059.2160108890075</c:v>
                </c:pt>
                <c:pt idx="1">
                  <c:v>2259.7066410555722</c:v>
                </c:pt>
                <c:pt idx="2">
                  <c:v>2086.0046768014004</c:v>
                </c:pt>
                <c:pt idx="3">
                  <c:v>1823.4539428851772</c:v>
                </c:pt>
                <c:pt idx="4">
                  <c:v>1912.7469692717104</c:v>
                </c:pt>
                <c:pt idx="5">
                  <c:v>1520.5463675703577</c:v>
                </c:pt>
                <c:pt idx="6">
                  <c:v>1433.2782647781144</c:v>
                </c:pt>
                <c:pt idx="7">
                  <c:v>1401.4613008252024</c:v>
                </c:pt>
                <c:pt idx="8">
                  <c:v>1322.5645954032291</c:v>
                </c:pt>
                <c:pt idx="9">
                  <c:v>1233.3732959553402</c:v>
                </c:pt>
              </c:numCache>
            </c:numRef>
          </c:val>
          <c:extLst>
            <c:ext xmlns:c16="http://schemas.microsoft.com/office/drawing/2014/chart" uri="{C3380CC4-5D6E-409C-BE32-E72D297353CC}">
              <c16:uniqueId val="{00000000-3A34-4B6D-964A-FFE002996520}"/>
            </c:ext>
          </c:extLst>
        </c:ser>
        <c:ser>
          <c:idx val="1"/>
          <c:order val="1"/>
          <c:tx>
            <c:strRef>
              <c:f>Sheet2!$D$1</c:f>
              <c:strCache>
                <c:ptCount val="1"/>
                <c:pt idx="0">
                  <c:v>Domestic Total</c:v>
                </c:pt>
              </c:strCache>
            </c:strRef>
          </c:tx>
          <c:spPr>
            <a:solidFill>
              <a:schemeClr val="accent2"/>
            </a:solidFill>
            <a:ln>
              <a:noFill/>
            </a:ln>
            <a:effectLst/>
          </c:spPr>
          <c:invertIfNegative val="0"/>
          <c:cat>
            <c:numRef>
              <c:f>Sheet2!$B$2:$B$11</c:f>
              <c:numCache>
                <c:formatCode>0</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Sheet2!$D$2:$D$11</c:f>
              <c:numCache>
                <c:formatCode>#,##0.0</c:formatCode>
                <c:ptCount val="10"/>
                <c:pt idx="0">
                  <c:v>1231.9241973987048</c:v>
                </c:pt>
                <c:pt idx="1">
                  <c:v>1303.4375352645829</c:v>
                </c:pt>
                <c:pt idx="2">
                  <c:v>1275.3767582840765</c:v>
                </c:pt>
                <c:pt idx="3">
                  <c:v>1087.8446703282173</c:v>
                </c:pt>
                <c:pt idx="4">
                  <c:v>1055.5820621914302</c:v>
                </c:pt>
                <c:pt idx="5">
                  <c:v>989.64807042972984</c:v>
                </c:pt>
                <c:pt idx="6">
                  <c:v>941.85465495344306</c:v>
                </c:pt>
                <c:pt idx="7">
                  <c:v>928.07284548278699</c:v>
                </c:pt>
                <c:pt idx="8">
                  <c:v>889.30036187134317</c:v>
                </c:pt>
                <c:pt idx="9">
                  <c:v>876.04498780791869</c:v>
                </c:pt>
              </c:numCache>
            </c:numRef>
          </c:val>
          <c:extLst>
            <c:ext xmlns:c16="http://schemas.microsoft.com/office/drawing/2014/chart" uri="{C3380CC4-5D6E-409C-BE32-E72D297353CC}">
              <c16:uniqueId val="{00000001-3A34-4B6D-964A-FFE002996520}"/>
            </c:ext>
          </c:extLst>
        </c:ser>
        <c:ser>
          <c:idx val="2"/>
          <c:order val="2"/>
          <c:tx>
            <c:strRef>
              <c:f>Sheet2!$E$1</c:f>
              <c:strCache>
                <c:ptCount val="1"/>
                <c:pt idx="0">
                  <c:v>Transport Total</c:v>
                </c:pt>
              </c:strCache>
            </c:strRef>
          </c:tx>
          <c:spPr>
            <a:solidFill>
              <a:schemeClr val="accent3"/>
            </a:solidFill>
            <a:ln>
              <a:noFill/>
            </a:ln>
            <a:effectLst/>
          </c:spPr>
          <c:invertIfNegative val="0"/>
          <c:cat>
            <c:numRef>
              <c:f>Sheet2!$B$2:$B$11</c:f>
              <c:numCache>
                <c:formatCode>0</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Sheet2!$E$2:$E$11</c:f>
              <c:numCache>
                <c:formatCode>#,##0.0</c:formatCode>
                <c:ptCount val="10"/>
                <c:pt idx="0">
                  <c:v>1369.4157378043894</c:v>
                </c:pt>
                <c:pt idx="1">
                  <c:v>1343.703703299971</c:v>
                </c:pt>
                <c:pt idx="2">
                  <c:v>1346.520752764068</c:v>
                </c:pt>
                <c:pt idx="3">
                  <c:v>1363.2817310665168</c:v>
                </c:pt>
                <c:pt idx="4">
                  <c:v>1395.2337389380918</c:v>
                </c:pt>
                <c:pt idx="5">
                  <c:v>1441.3449604454318</c:v>
                </c:pt>
                <c:pt idx="6">
                  <c:v>1455.5771865904212</c:v>
                </c:pt>
                <c:pt idx="7">
                  <c:v>1429.1786432106787</c:v>
                </c:pt>
                <c:pt idx="8">
                  <c:v>1415.2597427579099</c:v>
                </c:pt>
                <c:pt idx="9">
                  <c:v>1117.3263443386493</c:v>
                </c:pt>
              </c:numCache>
            </c:numRef>
          </c:val>
          <c:extLst>
            <c:ext xmlns:c16="http://schemas.microsoft.com/office/drawing/2014/chart" uri="{C3380CC4-5D6E-409C-BE32-E72D297353CC}">
              <c16:uniqueId val="{00000002-3A34-4B6D-964A-FFE002996520}"/>
            </c:ext>
          </c:extLst>
        </c:ser>
        <c:dLbls>
          <c:showLegendKey val="0"/>
          <c:showVal val="0"/>
          <c:showCatName val="0"/>
          <c:showSerName val="0"/>
          <c:showPercent val="0"/>
          <c:showBubbleSize val="0"/>
        </c:dLbls>
        <c:gapWidth val="219"/>
        <c:overlap val="-27"/>
        <c:axId val="1250092848"/>
        <c:axId val="1250093328"/>
      </c:barChart>
      <c:catAx>
        <c:axId val="125009284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0093328"/>
        <c:crosses val="autoZero"/>
        <c:auto val="1"/>
        <c:lblAlgn val="ctr"/>
        <c:lblOffset val="100"/>
        <c:noMultiLvlLbl val="0"/>
      </c:catAx>
      <c:valAx>
        <c:axId val="1250093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25009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1" dirty="0">
                <a:solidFill>
                  <a:schemeClr val="tx1"/>
                </a:solidFill>
                <a:latin typeface="Calibri" panose="020F0502020204030204" pitchFamily="34" charset="0"/>
                <a:ea typeface="Calibri" panose="020F0502020204030204" pitchFamily="34" charset="0"/>
                <a:cs typeface="Calibri" panose="020F0502020204030204" pitchFamily="34" charset="0"/>
              </a:rPr>
              <a:t>Figure</a:t>
            </a:r>
            <a:r>
              <a:rPr lang="en-US" sz="1050" b="1" baseline="0" dirty="0">
                <a:solidFill>
                  <a:schemeClr val="tx1"/>
                </a:solidFill>
                <a:latin typeface="Calibri" panose="020F0502020204030204" pitchFamily="34" charset="0"/>
                <a:ea typeface="Calibri" panose="020F0502020204030204" pitchFamily="34" charset="0"/>
                <a:cs typeface="Calibri" panose="020F0502020204030204" pitchFamily="34" charset="0"/>
              </a:rPr>
              <a:t> 3: </a:t>
            </a:r>
            <a:r>
              <a:rPr lang="en-US" sz="1050" b="1" dirty="0">
                <a:solidFill>
                  <a:schemeClr val="tx1"/>
                </a:solidFill>
                <a:latin typeface="Calibri" panose="020F0502020204030204" pitchFamily="34" charset="0"/>
                <a:ea typeface="Calibri" panose="020F0502020204030204" pitchFamily="34" charset="0"/>
                <a:cs typeface="Calibri" panose="020F0502020204030204" pitchFamily="34" charset="0"/>
              </a:rPr>
              <a:t>Pollution Inventory emissions by operators in Cumbria regulated by the </a:t>
            </a:r>
            <a:r>
              <a:rPr lang="en-US" sz="1050" b="1" baseline="0" dirty="0">
                <a:solidFill>
                  <a:schemeClr val="tx1"/>
                </a:solidFill>
                <a:latin typeface="Calibri" panose="020F0502020204030204" pitchFamily="34" charset="0"/>
                <a:ea typeface="Calibri" panose="020F0502020204030204" pitchFamily="34" charset="0"/>
                <a:cs typeface="Calibri" panose="020F0502020204030204" pitchFamily="34" charset="0"/>
              </a:rPr>
              <a:t>Environment Agency (kt of C02e, methane in 2020)</a:t>
            </a:r>
            <a:endParaRPr lang="en-US" sz="1050" b="1" dirty="0">
              <a:solidFill>
                <a:schemeClr val="tx1"/>
              </a:solidFill>
              <a:latin typeface="Calibri" panose="020F0502020204030204" pitchFamily="34" charset="0"/>
              <a:ea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39093362831087"/>
          <c:y val="0.1758015295934898"/>
          <c:w val="0.8392350357933599"/>
          <c:h val="0.41195682477489359"/>
        </c:manualLayout>
      </c:layout>
      <c:barChart>
        <c:barDir val="col"/>
        <c:grouping val="clustered"/>
        <c:varyColors val="0"/>
        <c:ser>
          <c:idx val="0"/>
          <c:order val="0"/>
          <c:tx>
            <c:strRef>
              <c:f>Sheet1!$F$3</c:f>
              <c:strCache>
                <c:ptCount val="1"/>
                <c:pt idx="0">
                  <c:v>2020</c:v>
                </c:pt>
              </c:strCache>
            </c:strRef>
          </c:tx>
          <c:spPr>
            <a:solidFill>
              <a:schemeClr val="accent1"/>
            </a:solidFill>
            <a:ln>
              <a:noFill/>
            </a:ln>
            <a:effectLst/>
          </c:spPr>
          <c:invertIfNegative val="0"/>
          <c:dPt>
            <c:idx val="5"/>
            <c:invertIfNegative val="0"/>
            <c:bubble3D val="0"/>
            <c:spPr>
              <a:solidFill>
                <a:schemeClr val="accent2"/>
              </a:solidFill>
              <a:ln>
                <a:noFill/>
              </a:ln>
              <a:effectLst/>
            </c:spPr>
            <c:extLst>
              <c:ext xmlns:c16="http://schemas.microsoft.com/office/drawing/2014/chart" uri="{C3380CC4-5D6E-409C-BE32-E72D297353CC}">
                <c16:uniqueId val="{00000001-EB97-4210-BC62-9710787A2026}"/>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03-EB97-4210-BC62-9710787A2026}"/>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5-EB97-4210-BC62-9710787A2026}"/>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07-EB97-4210-BC62-9710787A2026}"/>
              </c:ext>
            </c:extLst>
          </c:dPt>
          <c:cat>
            <c:strRef>
              <c:f>Sheet1!$C$4:$C$23</c:f>
              <c:strCache>
                <c:ptCount val="20"/>
                <c:pt idx="0">
                  <c:v>Hydrocarbon Resources Ltd</c:v>
                </c:pt>
                <c:pt idx="1">
                  <c:v>British Nuclear Fuels Ltd</c:v>
                </c:pt>
                <c:pt idx="2">
                  <c:v>Corus UK Ltd</c:v>
                </c:pt>
                <c:pt idx="3">
                  <c:v>Innovia Films Ltd</c:v>
                </c:pt>
                <c:pt idx="4">
                  <c:v>Kimberly Clark Ltd</c:v>
                </c:pt>
                <c:pt idx="5">
                  <c:v>Cumbria Waste Management Ltd</c:v>
                </c:pt>
                <c:pt idx="6">
                  <c:v>Omega Proteins Ltd</c:v>
                </c:pt>
                <c:pt idx="7">
                  <c:v>BPB United Kingdom Ltd</c:v>
                </c:pt>
                <c:pt idx="8">
                  <c:v>James Cropper Plc</c:v>
                </c:pt>
                <c:pt idx="9">
                  <c:v>Henry Cooke Ltd</c:v>
                </c:pt>
                <c:pt idx="10">
                  <c:v>Lakeland Waste Management Ltd</c:v>
                </c:pt>
                <c:pt idx="11">
                  <c:v>Hydrocarbon Resources Ltd</c:v>
                </c:pt>
                <c:pt idx="12">
                  <c:v>Glaxo Operations UK Ltd</c:v>
                </c:pt>
                <c:pt idx="13">
                  <c:v>Cumbria Waste Management Ltd</c:v>
                </c:pt>
                <c:pt idx="14">
                  <c:v>WRG Waste Services Ltd</c:v>
                </c:pt>
                <c:pt idx="15">
                  <c:v>Cumbria Waste Management Ltd</c:v>
                </c:pt>
                <c:pt idx="16">
                  <c:v>Hydrocarbon Resources Ltd</c:v>
                </c:pt>
                <c:pt idx="17">
                  <c:v>Waste Recycling Group Ltd</c:v>
                </c:pt>
                <c:pt idx="18">
                  <c:v>BPB United Kingdom Ltd</c:v>
                </c:pt>
                <c:pt idx="19">
                  <c:v>British Nuclear Fuels Ltd</c:v>
                </c:pt>
              </c:strCache>
              <c:extLst/>
            </c:strRef>
          </c:cat>
          <c:val>
            <c:numRef>
              <c:f>Sheet1!$F$4:$F$23</c:f>
              <c:numCache>
                <c:formatCode>#,##0.00</c:formatCode>
                <c:ptCount val="20"/>
                <c:pt idx="0">
                  <c:v>417.46199999999999</c:v>
                </c:pt>
                <c:pt idx="1">
                  <c:v>262</c:v>
                </c:pt>
                <c:pt idx="2">
                  <c:v>180.42519999999999</c:v>
                </c:pt>
                <c:pt idx="3">
                  <c:v>73.59</c:v>
                </c:pt>
                <c:pt idx="4">
                  <c:v>42.572000000000003</c:v>
                </c:pt>
                <c:pt idx="5">
                  <c:v>36.25</c:v>
                </c:pt>
                <c:pt idx="6">
                  <c:v>33.386150000000001</c:v>
                </c:pt>
                <c:pt idx="7">
                  <c:v>32.499972</c:v>
                </c:pt>
                <c:pt idx="8">
                  <c:v>25.331</c:v>
                </c:pt>
                <c:pt idx="9">
                  <c:v>20.007000000000001</c:v>
                </c:pt>
                <c:pt idx="10">
                  <c:v>19.45</c:v>
                </c:pt>
                <c:pt idx="11">
                  <c:v>15.52</c:v>
                </c:pt>
                <c:pt idx="12">
                  <c:v>14.579000000000001</c:v>
                </c:pt>
                <c:pt idx="13">
                  <c:v>11.1</c:v>
                </c:pt>
                <c:pt idx="14">
                  <c:v>8.75</c:v>
                </c:pt>
                <c:pt idx="15">
                  <c:v>6.125</c:v>
                </c:pt>
                <c:pt idx="16">
                  <c:v>4.47</c:v>
                </c:pt>
                <c:pt idx="17">
                  <c:v>2.1274999999999999</c:v>
                </c:pt>
                <c:pt idx="18">
                  <c:v>0.51749999999999996</c:v>
                </c:pt>
                <c:pt idx="19">
                  <c:v>0.34</c:v>
                </c:pt>
              </c:numCache>
            </c:numRef>
          </c:val>
          <c:extLst>
            <c:ext xmlns:c16="http://schemas.microsoft.com/office/drawing/2014/chart" uri="{C3380CC4-5D6E-409C-BE32-E72D297353CC}">
              <c16:uniqueId val="{00000008-EB97-4210-BC62-9710787A2026}"/>
            </c:ext>
          </c:extLst>
        </c:ser>
        <c:dLbls>
          <c:showLegendKey val="0"/>
          <c:showVal val="0"/>
          <c:showCatName val="0"/>
          <c:showSerName val="0"/>
          <c:showPercent val="0"/>
          <c:showBubbleSize val="0"/>
        </c:dLbls>
        <c:gapWidth val="219"/>
        <c:overlap val="-27"/>
        <c:axId val="1020743984"/>
        <c:axId val="1020742064"/>
      </c:barChart>
      <c:catAx>
        <c:axId val="102074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020742064"/>
        <c:crosses val="autoZero"/>
        <c:auto val="1"/>
        <c:lblAlgn val="ctr"/>
        <c:lblOffset val="100"/>
        <c:noMultiLvlLbl val="0"/>
      </c:catAx>
      <c:valAx>
        <c:axId val="1020742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0207439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50" b="1">
                <a:solidFill>
                  <a:sysClr val="windowText" lastClr="000000"/>
                </a:solidFill>
              </a:rPr>
              <a:t>Figure 6: Occupations employing the largest number of Cumbria residents,</a:t>
            </a:r>
            <a:r>
              <a:rPr lang="en-GB" sz="1050" b="1" baseline="0">
                <a:solidFill>
                  <a:sysClr val="windowText" lastClr="000000"/>
                </a:solidFill>
              </a:rPr>
              <a:t> 2019 (ONS)</a:t>
            </a:r>
            <a:endParaRPr lang="en-GB"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1111111111111111"/>
                  <c:y val="8.7962962962962965E-2"/>
                </c:manualLayout>
              </c:layout>
              <c:tx>
                <c:rich>
                  <a:bodyPr/>
                  <a:lstStyle/>
                  <a:p>
                    <a:r>
                      <a:rPr lang="en-US" baseline="0"/>
                      <a:t>Sales &amp; retail assistants</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A34-4248-B325-605D63CD42E5}"/>
                </c:ext>
              </c:extLst>
            </c:dLbl>
            <c:dLbl>
              <c:idx val="6"/>
              <c:layout>
                <c:manualLayout>
                  <c:x val="1.2731334408019993E-17"/>
                  <c:y val="-8.7962962962963007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baseline="0"/>
                      <a:t>Electricians and electrical fitters</a:t>
                    </a:r>
                    <a:endParaRPr 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0"/>
                        <a:gd name="adj2" fmla="val 148755"/>
                      </a:avLst>
                    </a:prstGeom>
                    <a:noFill/>
                    <a:ln>
                      <a:noFill/>
                    </a:ln>
                  </c15:spPr>
                  <c15:showDataLabelsRange val="0"/>
                </c:ext>
                <c:ext xmlns:c16="http://schemas.microsoft.com/office/drawing/2014/chart" uri="{C3380CC4-5D6E-409C-BE32-E72D297353CC}">
                  <c16:uniqueId val="{00000001-BA34-4248-B325-605D63CD42E5}"/>
                </c:ext>
              </c:extLst>
            </c:dLbl>
            <c:dLbl>
              <c:idx val="7"/>
              <c:layout>
                <c:manualLayout>
                  <c:x val="0.17499999999999996"/>
                  <c:y val="-6.9444444444444489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baseline="0"/>
                      <a:t>Metal working production &amp; maintenance fitters</a:t>
                    </a:r>
                    <a:endParaRPr 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7435"/>
                        <a:gd name="adj2" fmla="val 107867"/>
                      </a:avLst>
                    </a:prstGeom>
                    <a:noFill/>
                    <a:ln>
                      <a:noFill/>
                    </a:ln>
                  </c15:spPr>
                  <c15:showDataLabelsRange val="0"/>
                </c:ext>
                <c:ext xmlns:c16="http://schemas.microsoft.com/office/drawing/2014/chart" uri="{C3380CC4-5D6E-409C-BE32-E72D297353CC}">
                  <c16:uniqueId val="{00000002-BA34-4248-B325-605D63CD42E5}"/>
                </c:ext>
              </c:extLst>
            </c:dLbl>
            <c:dLbl>
              <c:idx val="9"/>
              <c:layout>
                <c:manualLayout>
                  <c:x val="0.16388888888888889"/>
                  <c:y val="8.3333333333333245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Production directors &amp; managers in manufacturing</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9419"/>
                        <a:gd name="adj2" fmla="val 22362"/>
                      </a:avLst>
                    </a:prstGeom>
                    <a:noFill/>
                    <a:ln>
                      <a:noFill/>
                    </a:ln>
                  </c15:spPr>
                  <c15:showDataLabelsRange val="0"/>
                </c:ext>
                <c:ext xmlns:c16="http://schemas.microsoft.com/office/drawing/2014/chart" uri="{C3380CC4-5D6E-409C-BE32-E72D297353CC}">
                  <c16:uniqueId val="{00000003-BA34-4248-B325-605D63CD42E5}"/>
                </c:ext>
              </c:extLst>
            </c:dLbl>
            <c:dLbl>
              <c:idx val="25"/>
              <c:layout>
                <c:manualLayout>
                  <c:x val="0.1361111111111111"/>
                  <c:y val="-8.3333333333333329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baseline="0"/>
                      <a:t>Engineering professionals n.e.c.</a:t>
                    </a:r>
                    <a:endParaRPr 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118"/>
                        <a:gd name="adj2" fmla="val 133511"/>
                      </a:avLst>
                    </a:prstGeom>
                    <a:noFill/>
                    <a:ln>
                      <a:noFill/>
                    </a:ln>
                  </c15:spPr>
                  <c15:showDataLabelsRange val="0"/>
                </c:ext>
                <c:ext xmlns:c16="http://schemas.microsoft.com/office/drawing/2014/chart" uri="{C3380CC4-5D6E-409C-BE32-E72D297353CC}">
                  <c16:uniqueId val="{00000004-BA34-4248-B325-605D63CD42E5}"/>
                </c:ext>
              </c:extLst>
            </c:dLbl>
            <c:dLbl>
              <c:idx val="40"/>
              <c:layout>
                <c:manualLayout>
                  <c:x val="0.12777777777777777"/>
                  <c:y val="-0.10185185185185194"/>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Chemical</a:t>
                    </a:r>
                    <a:r>
                      <a:rPr lang="en-US" baseline="0"/>
                      <a:t> &amp; related process operatives</a:t>
                    </a:r>
                    <a:endParaRPr 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70"/>
                        <a:gd name="adj2" fmla="val 149541"/>
                      </a:avLst>
                    </a:prstGeom>
                    <a:noFill/>
                    <a:ln>
                      <a:noFill/>
                    </a:ln>
                  </c15:spPr>
                  <c15:showDataLabelsRange val="0"/>
                </c:ext>
                <c:ext xmlns:c16="http://schemas.microsoft.com/office/drawing/2014/chart" uri="{C3380CC4-5D6E-409C-BE32-E72D297353CC}">
                  <c16:uniqueId val="{00000005-BA34-4248-B325-605D63CD42E5}"/>
                </c:ext>
              </c:extLst>
            </c:dLbl>
            <c:dLbl>
              <c:idx val="43"/>
              <c:layout>
                <c:manualLayout>
                  <c:x val="0.25429292929292918"/>
                  <c:y val="3.326188393117526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baseline="0"/>
                      <a:t>Construction &amp; building trades supervisors</a:t>
                    </a:r>
                    <a:endParaRPr lang="en-US"/>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73912"/>
                        <a:gd name="adj2" fmla="val 39576"/>
                      </a:avLst>
                    </a:prstGeom>
                    <a:noFill/>
                    <a:ln>
                      <a:noFill/>
                    </a:ln>
                  </c15:spPr>
                  <c15:showDataLabelsRange val="0"/>
                </c:ext>
                <c:ext xmlns:c16="http://schemas.microsoft.com/office/drawing/2014/chart" uri="{C3380CC4-5D6E-409C-BE32-E72D297353CC}">
                  <c16:uniqueId val="{00000006-BA34-4248-B325-605D63CD42E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val>
            <c:numRef>
              <c:f>Sheet2!$E$3:$E$73</c:f>
              <c:numCache>
                <c:formatCode>General</c:formatCode>
                <c:ptCount val="71"/>
                <c:pt idx="0">
                  <c:v>9749</c:v>
                </c:pt>
                <c:pt idx="1">
                  <c:v>6694</c:v>
                </c:pt>
                <c:pt idx="2">
                  <c:v>6453</c:v>
                </c:pt>
                <c:pt idx="3">
                  <c:v>5907</c:v>
                </c:pt>
                <c:pt idx="4">
                  <c:v>5685</c:v>
                </c:pt>
                <c:pt idx="5">
                  <c:v>4602</c:v>
                </c:pt>
                <c:pt idx="6">
                  <c:v>4595</c:v>
                </c:pt>
                <c:pt idx="7">
                  <c:v>4594</c:v>
                </c:pt>
                <c:pt idx="8">
                  <c:v>4205</c:v>
                </c:pt>
                <c:pt idx="9">
                  <c:v>3636</c:v>
                </c:pt>
                <c:pt idx="10">
                  <c:v>3204</c:v>
                </c:pt>
                <c:pt idx="11">
                  <c:v>2925</c:v>
                </c:pt>
                <c:pt idx="12">
                  <c:v>2872</c:v>
                </c:pt>
                <c:pt idx="13">
                  <c:v>2744</c:v>
                </c:pt>
                <c:pt idx="14">
                  <c:v>2649</c:v>
                </c:pt>
                <c:pt idx="15">
                  <c:v>2572</c:v>
                </c:pt>
                <c:pt idx="16">
                  <c:v>2493</c:v>
                </c:pt>
                <c:pt idx="17">
                  <c:v>2448</c:v>
                </c:pt>
                <c:pt idx="18">
                  <c:v>2362</c:v>
                </c:pt>
                <c:pt idx="19">
                  <c:v>2339</c:v>
                </c:pt>
                <c:pt idx="20">
                  <c:v>2223</c:v>
                </c:pt>
                <c:pt idx="21">
                  <c:v>2119</c:v>
                </c:pt>
                <c:pt idx="22">
                  <c:v>2106</c:v>
                </c:pt>
                <c:pt idx="23">
                  <c:v>1817</c:v>
                </c:pt>
                <c:pt idx="24">
                  <c:v>1611</c:v>
                </c:pt>
                <c:pt idx="25">
                  <c:v>1555</c:v>
                </c:pt>
                <c:pt idx="26">
                  <c:v>1511</c:v>
                </c:pt>
                <c:pt idx="27">
                  <c:v>1501</c:v>
                </c:pt>
                <c:pt idx="28">
                  <c:v>1482</c:v>
                </c:pt>
                <c:pt idx="29">
                  <c:v>1463</c:v>
                </c:pt>
                <c:pt idx="30">
                  <c:v>1434</c:v>
                </c:pt>
                <c:pt idx="31">
                  <c:v>1383</c:v>
                </c:pt>
                <c:pt idx="32">
                  <c:v>1368</c:v>
                </c:pt>
                <c:pt idx="33">
                  <c:v>1336</c:v>
                </c:pt>
                <c:pt idx="34">
                  <c:v>1276</c:v>
                </c:pt>
                <c:pt idx="35">
                  <c:v>1250</c:v>
                </c:pt>
                <c:pt idx="36">
                  <c:v>1165</c:v>
                </c:pt>
                <c:pt idx="37">
                  <c:v>1163</c:v>
                </c:pt>
                <c:pt idx="38">
                  <c:v>1155</c:v>
                </c:pt>
                <c:pt idx="39">
                  <c:v>1126</c:v>
                </c:pt>
                <c:pt idx="40">
                  <c:v>1088</c:v>
                </c:pt>
                <c:pt idx="41">
                  <c:v>1056</c:v>
                </c:pt>
                <c:pt idx="42">
                  <c:v>1046</c:v>
                </c:pt>
                <c:pt idx="43">
                  <c:v>1035</c:v>
                </c:pt>
                <c:pt idx="44">
                  <c:v>1003</c:v>
                </c:pt>
                <c:pt idx="45">
                  <c:v>978</c:v>
                </c:pt>
                <c:pt idx="46">
                  <c:v>975</c:v>
                </c:pt>
                <c:pt idx="47">
                  <c:v>971</c:v>
                </c:pt>
                <c:pt idx="48">
                  <c:v>968</c:v>
                </c:pt>
                <c:pt idx="49">
                  <c:v>964</c:v>
                </c:pt>
                <c:pt idx="50">
                  <c:v>948</c:v>
                </c:pt>
                <c:pt idx="51">
                  <c:v>946</c:v>
                </c:pt>
                <c:pt idx="52">
                  <c:v>937</c:v>
                </c:pt>
                <c:pt idx="53">
                  <c:v>928</c:v>
                </c:pt>
                <c:pt idx="54">
                  <c:v>928</c:v>
                </c:pt>
                <c:pt idx="55">
                  <c:v>897</c:v>
                </c:pt>
                <c:pt idx="56">
                  <c:v>895</c:v>
                </c:pt>
                <c:pt idx="57">
                  <c:v>883</c:v>
                </c:pt>
                <c:pt idx="58">
                  <c:v>871</c:v>
                </c:pt>
                <c:pt idx="59">
                  <c:v>851</c:v>
                </c:pt>
                <c:pt idx="60">
                  <c:v>851</c:v>
                </c:pt>
                <c:pt idx="61">
                  <c:v>850</c:v>
                </c:pt>
                <c:pt idx="62">
                  <c:v>846</c:v>
                </c:pt>
                <c:pt idx="63">
                  <c:v>831</c:v>
                </c:pt>
                <c:pt idx="64">
                  <c:v>819</c:v>
                </c:pt>
                <c:pt idx="65">
                  <c:v>807</c:v>
                </c:pt>
                <c:pt idx="66">
                  <c:v>779</c:v>
                </c:pt>
                <c:pt idx="67">
                  <c:v>756</c:v>
                </c:pt>
                <c:pt idx="68">
                  <c:v>745</c:v>
                </c:pt>
                <c:pt idx="69">
                  <c:v>736</c:v>
                </c:pt>
                <c:pt idx="70">
                  <c:v>720</c:v>
                </c:pt>
              </c:numCache>
            </c:numRef>
          </c:val>
          <c:extLst>
            <c:ext xmlns:c16="http://schemas.microsoft.com/office/drawing/2014/chart" uri="{C3380CC4-5D6E-409C-BE32-E72D297353CC}">
              <c16:uniqueId val="{00000007-BA34-4248-B325-605D63CD42E5}"/>
            </c:ext>
          </c:extLst>
        </c:ser>
        <c:dLbls>
          <c:showLegendKey val="0"/>
          <c:showVal val="0"/>
          <c:showCatName val="0"/>
          <c:showSerName val="0"/>
          <c:showPercent val="0"/>
          <c:showBubbleSize val="0"/>
        </c:dLbls>
        <c:gapWidth val="219"/>
        <c:overlap val="-27"/>
        <c:axId val="1592679599"/>
        <c:axId val="1592676239"/>
      </c:barChart>
      <c:catAx>
        <c:axId val="1592679599"/>
        <c:scaling>
          <c:orientation val="minMax"/>
        </c:scaling>
        <c:delete val="1"/>
        <c:axPos val="b"/>
        <c:numFmt formatCode="General" sourceLinked="1"/>
        <c:majorTickMark val="none"/>
        <c:minorTickMark val="none"/>
        <c:tickLblPos val="nextTo"/>
        <c:crossAx val="1592676239"/>
        <c:crosses val="autoZero"/>
        <c:auto val="1"/>
        <c:lblAlgn val="ctr"/>
        <c:lblOffset val="100"/>
        <c:noMultiLvlLbl val="0"/>
      </c:catAx>
      <c:valAx>
        <c:axId val="1592676239"/>
        <c:scaling>
          <c:orientation val="minMax"/>
          <c:max val="1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67959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GB" sz="1050" b="1">
                <a:solidFill>
                  <a:sysClr val="windowText" lastClr="000000"/>
                </a:solidFill>
              </a:rPr>
              <a:t>Figure</a:t>
            </a:r>
            <a:r>
              <a:rPr lang="en-GB" sz="1050" b="1" baseline="0">
                <a:solidFill>
                  <a:sysClr val="windowText" lastClr="000000"/>
                </a:solidFill>
              </a:rPr>
              <a:t> 7: </a:t>
            </a:r>
            <a:r>
              <a:rPr lang="en-GB" sz="1050" b="1">
                <a:solidFill>
                  <a:sysClr val="windowText" lastClr="000000"/>
                </a:solidFill>
              </a:rPr>
              <a:t>Skills Imperative - Forecast demand by 2-digit SOC,</a:t>
            </a:r>
            <a:r>
              <a:rPr lang="en-GB" sz="1050" b="1" baseline="0">
                <a:solidFill>
                  <a:sysClr val="windowText" lastClr="000000"/>
                </a:solidFill>
              </a:rPr>
              <a:t> Cumbria 2020-2035 (thousands of jobs)</a:t>
            </a:r>
            <a:endParaRPr lang="en-GB" sz="105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file.xlsx]Sheet3'!$B$4</c:f>
              <c:strCache>
                <c:ptCount val="1"/>
                <c:pt idx="0">
                  <c:v>Net Change</c:v>
                </c:pt>
              </c:strCache>
            </c:strRef>
          </c:tx>
          <c:spPr>
            <a:solidFill>
              <a:schemeClr val="accent1"/>
            </a:solidFill>
            <a:ln>
              <a:noFill/>
            </a:ln>
            <a:effectLst/>
          </c:spPr>
          <c:invertIfNegative val="0"/>
          <c:cat>
            <c:strRef>
              <c:f>'[Data file.xlsx]Sheet3'!$A$5:$A$9</c:f>
              <c:strCache>
                <c:ptCount val="5"/>
                <c:pt idx="0">
                  <c:v>21 Science, research, engineering and technology professionals</c:v>
                </c:pt>
                <c:pt idx="1">
                  <c:v>31 Science, engineering and technology associate professionals</c:v>
                </c:pt>
                <c:pt idx="2">
                  <c:v>52 Skilled metal, electrical and electronic trades</c:v>
                </c:pt>
                <c:pt idx="3">
                  <c:v>53 Skilled construction and building trades</c:v>
                </c:pt>
                <c:pt idx="4">
                  <c:v>81 Process, plant and machine operatives</c:v>
                </c:pt>
              </c:strCache>
            </c:strRef>
          </c:cat>
          <c:val>
            <c:numRef>
              <c:f>'[Data file.xlsx]Sheet3'!$B$5:$B$9</c:f>
              <c:numCache>
                <c:formatCode>#,##0</c:formatCode>
                <c:ptCount val="5"/>
                <c:pt idx="0">
                  <c:v>4.947234424568558</c:v>
                </c:pt>
                <c:pt idx="1">
                  <c:v>-0.18699415659770491</c:v>
                </c:pt>
                <c:pt idx="2">
                  <c:v>-1.6436370394920097</c:v>
                </c:pt>
                <c:pt idx="3">
                  <c:v>-1.0772516294391226</c:v>
                </c:pt>
                <c:pt idx="4">
                  <c:v>-1.1034069784814866</c:v>
                </c:pt>
              </c:numCache>
            </c:numRef>
          </c:val>
          <c:extLst>
            <c:ext xmlns:c16="http://schemas.microsoft.com/office/drawing/2014/chart" uri="{C3380CC4-5D6E-409C-BE32-E72D297353CC}">
              <c16:uniqueId val="{00000000-22AA-40D9-90F0-586B9ABBB340}"/>
            </c:ext>
          </c:extLst>
        </c:ser>
        <c:ser>
          <c:idx val="1"/>
          <c:order val="1"/>
          <c:tx>
            <c:strRef>
              <c:f>'[Data file.xlsx]Sheet3'!$C$4</c:f>
              <c:strCache>
                <c:ptCount val="1"/>
                <c:pt idx="0">
                  <c:v>Replacement Demand</c:v>
                </c:pt>
              </c:strCache>
            </c:strRef>
          </c:tx>
          <c:spPr>
            <a:solidFill>
              <a:schemeClr val="accent2"/>
            </a:solidFill>
            <a:ln>
              <a:noFill/>
            </a:ln>
            <a:effectLst/>
          </c:spPr>
          <c:invertIfNegative val="0"/>
          <c:cat>
            <c:strRef>
              <c:f>'[Data file.xlsx]Sheet3'!$A$5:$A$9</c:f>
              <c:strCache>
                <c:ptCount val="5"/>
                <c:pt idx="0">
                  <c:v>21 Science, research, engineering and technology professionals</c:v>
                </c:pt>
                <c:pt idx="1">
                  <c:v>31 Science, engineering and technology associate professionals</c:v>
                </c:pt>
                <c:pt idx="2">
                  <c:v>52 Skilled metal, electrical and electronic trades</c:v>
                </c:pt>
                <c:pt idx="3">
                  <c:v>53 Skilled construction and building trades</c:v>
                </c:pt>
                <c:pt idx="4">
                  <c:v>81 Process, plant and machine operatives</c:v>
                </c:pt>
              </c:strCache>
            </c:strRef>
          </c:cat>
          <c:val>
            <c:numRef>
              <c:f>'[Data file.xlsx]Sheet3'!$C$5:$C$9</c:f>
              <c:numCache>
                <c:formatCode>#,##0</c:formatCode>
                <c:ptCount val="5"/>
                <c:pt idx="0">
                  <c:v>7.8117024712915448</c:v>
                </c:pt>
                <c:pt idx="1">
                  <c:v>6.4998785609691527</c:v>
                </c:pt>
                <c:pt idx="2">
                  <c:v>2.291576573964123</c:v>
                </c:pt>
                <c:pt idx="3">
                  <c:v>2.1509895902002945</c:v>
                </c:pt>
                <c:pt idx="4">
                  <c:v>9.6578500021496776</c:v>
                </c:pt>
              </c:numCache>
            </c:numRef>
          </c:val>
          <c:extLst>
            <c:ext xmlns:c16="http://schemas.microsoft.com/office/drawing/2014/chart" uri="{C3380CC4-5D6E-409C-BE32-E72D297353CC}">
              <c16:uniqueId val="{00000001-22AA-40D9-90F0-586B9ABBB340}"/>
            </c:ext>
          </c:extLst>
        </c:ser>
        <c:ser>
          <c:idx val="2"/>
          <c:order val="2"/>
          <c:tx>
            <c:strRef>
              <c:f>'[Data file.xlsx]Sheet3'!$D$4</c:f>
              <c:strCache>
                <c:ptCount val="1"/>
                <c:pt idx="0">
                  <c:v>Total Requirement</c:v>
                </c:pt>
              </c:strCache>
            </c:strRef>
          </c:tx>
          <c:spPr>
            <a:solidFill>
              <a:schemeClr val="accent3"/>
            </a:solidFill>
            <a:ln>
              <a:noFill/>
            </a:ln>
            <a:effectLst/>
          </c:spPr>
          <c:invertIfNegative val="0"/>
          <c:cat>
            <c:strRef>
              <c:f>'[Data file.xlsx]Sheet3'!$A$5:$A$9</c:f>
              <c:strCache>
                <c:ptCount val="5"/>
                <c:pt idx="0">
                  <c:v>21 Science, research, engineering and technology professionals</c:v>
                </c:pt>
                <c:pt idx="1">
                  <c:v>31 Science, engineering and technology associate professionals</c:v>
                </c:pt>
                <c:pt idx="2">
                  <c:v>52 Skilled metal, electrical and electronic trades</c:v>
                </c:pt>
                <c:pt idx="3">
                  <c:v>53 Skilled construction and building trades</c:v>
                </c:pt>
                <c:pt idx="4">
                  <c:v>81 Process, plant and machine operatives</c:v>
                </c:pt>
              </c:strCache>
            </c:strRef>
          </c:cat>
          <c:val>
            <c:numRef>
              <c:f>'[Data file.xlsx]Sheet3'!$D$5:$D$9</c:f>
              <c:numCache>
                <c:formatCode>#,##0</c:formatCode>
                <c:ptCount val="5"/>
                <c:pt idx="0">
                  <c:v>12.758936895860103</c:v>
                </c:pt>
                <c:pt idx="1">
                  <c:v>6.3128844043714478</c:v>
                </c:pt>
                <c:pt idx="2">
                  <c:v>0.64793953447211328</c:v>
                </c:pt>
                <c:pt idx="3">
                  <c:v>1.0737379607611719</c:v>
                </c:pt>
                <c:pt idx="4">
                  <c:v>8.5544430236681919</c:v>
                </c:pt>
              </c:numCache>
            </c:numRef>
          </c:val>
          <c:extLst>
            <c:ext xmlns:c16="http://schemas.microsoft.com/office/drawing/2014/chart" uri="{C3380CC4-5D6E-409C-BE32-E72D297353CC}">
              <c16:uniqueId val="{00000002-22AA-40D9-90F0-586B9ABBB340}"/>
            </c:ext>
          </c:extLst>
        </c:ser>
        <c:dLbls>
          <c:showLegendKey val="0"/>
          <c:showVal val="0"/>
          <c:showCatName val="0"/>
          <c:showSerName val="0"/>
          <c:showPercent val="0"/>
          <c:showBubbleSize val="0"/>
        </c:dLbls>
        <c:gapWidth val="219"/>
        <c:overlap val="-27"/>
        <c:axId val="875111551"/>
        <c:axId val="875108671"/>
      </c:barChart>
      <c:catAx>
        <c:axId val="875111551"/>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08671"/>
        <c:crosses val="autoZero"/>
        <c:auto val="1"/>
        <c:lblAlgn val="ctr"/>
        <c:lblOffset val="100"/>
        <c:noMultiLvlLbl val="0"/>
      </c:catAx>
      <c:valAx>
        <c:axId val="8751086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111551"/>
        <c:crosses val="autoZero"/>
        <c:crossBetween val="between"/>
      </c:valAx>
      <c:spPr>
        <a:noFill/>
        <a:ln>
          <a:solidFill>
            <a:schemeClr val="accent1">
              <a:alpha val="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AC030C-694D-4CAA-83AE-0F36E74214CF}"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GB"/>
        </a:p>
      </dgm:t>
    </dgm:pt>
    <dgm:pt modelId="{59642D3C-D43D-4AF7-95AD-225EAED824A5}">
      <dgm:prSet phldrT="[Text]" custT="1">
        <dgm:style>
          <a:lnRef idx="2">
            <a:schemeClr val="accent6"/>
          </a:lnRef>
          <a:fillRef idx="1">
            <a:schemeClr val="lt1"/>
          </a:fillRef>
          <a:effectRef idx="0">
            <a:schemeClr val="accent6"/>
          </a:effectRef>
          <a:fontRef idx="minor">
            <a:schemeClr val="dk1"/>
          </a:fontRef>
        </dgm:style>
      </dgm:prSet>
      <dgm:spPr>
        <a:xfrm>
          <a:off x="729691" y="1664208"/>
          <a:ext cx="4389120" cy="704088"/>
        </a:xfrm>
        <a:solidFill>
          <a:sysClr val="window" lastClr="FFFFFF"/>
        </a:solidFill>
        <a:ln w="12700" cap="flat" cmpd="sng" algn="ctr">
          <a:solidFill>
            <a:srgbClr val="70AD47"/>
          </a:solidFill>
          <a:prstDash val="solid"/>
          <a:miter lim="800000"/>
        </a:ln>
        <a:effectLst/>
      </dgm:spPr>
      <dgm:t>
        <a:bodyPr/>
        <a:lstStyle/>
        <a:p>
          <a:pPr>
            <a:buNone/>
          </a:pPr>
          <a:r>
            <a:rPr lang="en-GB" sz="1100" b="1" dirty="0"/>
            <a:t>2. Data review</a:t>
          </a:r>
          <a:endParaRPr lang="en-GB" sz="1100" b="1">
            <a:solidFill>
              <a:sysClr val="windowText" lastClr="000000"/>
            </a:solidFill>
            <a:latin typeface="Calibri" panose="020F0502020204030204"/>
            <a:ea typeface="+mn-ea"/>
            <a:cs typeface="+mn-cs"/>
          </a:endParaRPr>
        </a:p>
        <a:p>
          <a:pPr>
            <a:buNone/>
          </a:pPr>
          <a:r>
            <a:rPr lang="en-GB" sz="1000">
              <a:solidFill>
                <a:sysClr val="windowText" lastClr="000000"/>
              </a:solidFill>
              <a:latin typeface="Calibri" panose="020F0502020204030204"/>
              <a:ea typeface="+mn-ea"/>
              <a:cs typeface="+mn-cs"/>
            </a:rPr>
            <a:t>Analysis of existing data describing the clean energy sector within Cumbria, future developments, relevant labour forecasts and projections, current education and trianing delivery.</a:t>
          </a:r>
        </a:p>
      </dgm:t>
    </dgm:pt>
    <dgm:pt modelId="{E8EB97C6-11C1-4E21-8B94-7901317A98B2}" type="parTrans" cxnId="{472E8CAB-408E-4B77-9860-C5F2FED63658}">
      <dgm:prSet/>
      <dgm:spPr/>
      <dgm:t>
        <a:bodyPr/>
        <a:lstStyle/>
        <a:p>
          <a:endParaRPr lang="en-GB"/>
        </a:p>
      </dgm:t>
    </dgm:pt>
    <dgm:pt modelId="{B349AC1B-837E-4B87-9A50-1655B7803B65}" type="sibTrans" cxnId="{472E8CAB-408E-4B77-9860-C5F2FED63658}">
      <dgm:prSet/>
      <dgm:spPr>
        <a:xfrm>
          <a:off x="4661154" y="2203475"/>
          <a:ext cx="457657" cy="457657"/>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5087CC1-7DAC-4779-9908-E571A806B4D0}">
      <dgm:prSet phldrT="[Text]" custT="1">
        <dgm:style>
          <a:lnRef idx="2">
            <a:schemeClr val="accent6"/>
          </a:lnRef>
          <a:fillRef idx="1">
            <a:schemeClr val="lt1"/>
          </a:fillRef>
          <a:effectRef idx="0">
            <a:schemeClr val="accent6"/>
          </a:effectRef>
          <a:fontRef idx="minor">
            <a:schemeClr val="dk1"/>
          </a:fontRef>
        </dgm:style>
      </dgm:prSet>
      <dgm:spPr>
        <a:xfrm>
          <a:off x="1097279" y="2543176"/>
          <a:ext cx="4389120" cy="610359"/>
        </a:xfrm>
        <a:solidFill>
          <a:sysClr val="window" lastClr="FFFFFF"/>
        </a:solidFill>
        <a:ln w="12700" cap="flat" cmpd="sng" algn="ctr">
          <a:solidFill>
            <a:srgbClr val="70AD47"/>
          </a:solidFill>
          <a:prstDash val="solid"/>
          <a:miter lim="800000"/>
        </a:ln>
        <a:effectLst/>
      </dgm:spPr>
      <dgm:t>
        <a:bodyPr/>
        <a:lstStyle/>
        <a:p>
          <a:pPr>
            <a:buNone/>
          </a:pPr>
          <a:r>
            <a:rPr lang="en-GB" sz="1100" b="1">
              <a:solidFill>
                <a:sysClr val="windowText" lastClr="000000"/>
              </a:solidFill>
              <a:latin typeface="Calibri" panose="020F0502020204030204"/>
              <a:ea typeface="+mn-ea"/>
              <a:cs typeface="+mn-cs"/>
            </a:rPr>
            <a:t>3. Stakeholder engagement</a:t>
          </a:r>
        </a:p>
        <a:p>
          <a:pPr>
            <a:buNone/>
          </a:pPr>
          <a:r>
            <a:rPr lang="en-GB" sz="1000" b="0">
              <a:solidFill>
                <a:sysClr val="windowText" lastClr="000000"/>
              </a:solidFill>
              <a:latin typeface="Calibri" panose="020F0502020204030204"/>
              <a:ea typeface="+mn-ea"/>
              <a:cs typeface="+mn-cs"/>
            </a:rPr>
            <a:t>Seeking input from employers, education and training providers and other key stakeholders, via lines of enquiry informed by the evidence gathered at stages 1 and 2</a:t>
          </a:r>
        </a:p>
      </dgm:t>
    </dgm:pt>
    <dgm:pt modelId="{5B5FB78D-9907-4F03-9417-34311B515FDE}" type="parTrans" cxnId="{C50C044B-E2D4-4753-ACE5-6CF5D73667EB}">
      <dgm:prSet/>
      <dgm:spPr/>
      <dgm:t>
        <a:bodyPr/>
        <a:lstStyle/>
        <a:p>
          <a:endParaRPr lang="en-GB"/>
        </a:p>
      </dgm:t>
    </dgm:pt>
    <dgm:pt modelId="{A4877EAF-35EB-47E3-B276-72A5096D96A2}" type="sibTrans" cxnId="{C50C044B-E2D4-4753-ACE5-6CF5D73667EB}">
      <dgm:prSet/>
      <dgm:spPr/>
      <dgm:t>
        <a:bodyPr/>
        <a:lstStyle/>
        <a:p>
          <a:endParaRPr lang="en-GB"/>
        </a:p>
      </dgm:t>
    </dgm:pt>
    <dgm:pt modelId="{C5823D4C-3EF2-406F-979C-4C1DB4B30528}">
      <dgm:prSet custT="1">
        <dgm:style>
          <a:lnRef idx="2">
            <a:schemeClr val="accent6"/>
          </a:lnRef>
          <a:fillRef idx="1">
            <a:schemeClr val="lt1"/>
          </a:fillRef>
          <a:effectRef idx="0">
            <a:schemeClr val="accent6"/>
          </a:effectRef>
          <a:fontRef idx="minor">
            <a:schemeClr val="dk1"/>
          </a:fontRef>
        </dgm:style>
      </dgm:prSet>
      <dgm:spPr>
        <a:xfrm>
          <a:off x="0" y="0"/>
          <a:ext cx="4389120" cy="704088"/>
        </a:xfrm>
        <a:solidFill>
          <a:sysClr val="window" lastClr="FFFFFF"/>
        </a:solidFill>
        <a:ln w="12700" cap="flat" cmpd="sng" algn="ctr">
          <a:solidFill>
            <a:srgbClr val="70AD47"/>
          </a:solidFill>
          <a:prstDash val="solid"/>
          <a:miter lim="800000"/>
        </a:ln>
        <a:effectLst/>
      </dgm:spPr>
      <dgm:t>
        <a:bodyPr/>
        <a:lstStyle/>
        <a:p>
          <a:pPr>
            <a:buNone/>
          </a:pPr>
          <a:r>
            <a:rPr lang="en-GB" sz="1100" b="1">
              <a:solidFill>
                <a:sysClr val="windowText" lastClr="000000"/>
              </a:solidFill>
              <a:latin typeface="Calibri" panose="020F0502020204030204"/>
              <a:ea typeface="+mn-ea"/>
              <a:cs typeface="+mn-cs"/>
            </a:rPr>
            <a:t>1. Desktop literature review</a:t>
          </a:r>
        </a:p>
        <a:p>
          <a:pPr>
            <a:buNone/>
          </a:pPr>
          <a:r>
            <a:rPr lang="en-GB" sz="1000"/>
            <a:t>Review existing local, regional and national strategies to understand policy framework, scale of current and future activity, key dependencies and workforce requirements. </a:t>
          </a:r>
          <a:endParaRPr lang="en-GB" sz="1000">
            <a:solidFill>
              <a:sysClr val="windowText" lastClr="000000"/>
            </a:solidFill>
            <a:latin typeface="Calibri" panose="020F0502020204030204"/>
            <a:ea typeface="+mn-ea"/>
            <a:cs typeface="+mn-cs"/>
          </a:endParaRPr>
        </a:p>
      </dgm:t>
    </dgm:pt>
    <dgm:pt modelId="{C4CF65C7-10CA-4C1C-8AD5-6BA3EC974718}" type="parTrans" cxnId="{D94BE14A-8DEC-4A39-86E0-B86F9FEB345D}">
      <dgm:prSet/>
      <dgm:spPr/>
      <dgm:t>
        <a:bodyPr/>
        <a:lstStyle/>
        <a:p>
          <a:endParaRPr lang="en-GB"/>
        </a:p>
      </dgm:t>
    </dgm:pt>
    <dgm:pt modelId="{09AB9A70-74C0-49A9-A34C-B5A875247AE8}" type="sibTrans" cxnId="{D94BE14A-8DEC-4A39-86E0-B86F9FEB345D}">
      <dgm:prSet/>
      <dgm:spPr>
        <a:xfrm>
          <a:off x="3931462" y="539267"/>
          <a:ext cx="457657" cy="457657"/>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0B1D989A-A525-495A-A021-6E856067AD10}">
      <dgm:prSet custT="1">
        <dgm:style>
          <a:lnRef idx="2">
            <a:schemeClr val="accent6"/>
          </a:lnRef>
          <a:fillRef idx="1">
            <a:schemeClr val="lt1"/>
          </a:fillRef>
          <a:effectRef idx="0">
            <a:schemeClr val="accent6"/>
          </a:effectRef>
          <a:fontRef idx="minor">
            <a:schemeClr val="dk1"/>
          </a:fontRef>
        </dgm:style>
      </dgm:prSet>
      <dgm:spPr/>
      <dgm:t>
        <a:bodyPr/>
        <a:lstStyle/>
        <a:p>
          <a:r>
            <a:rPr lang="en-GB" sz="1100" b="1">
              <a:solidFill>
                <a:sysClr val="windowText" lastClr="000000"/>
              </a:solidFill>
              <a:latin typeface="Calibri" panose="020F0502020204030204"/>
              <a:ea typeface="+mn-ea"/>
              <a:cs typeface="+mn-cs"/>
            </a:rPr>
            <a:t>4. Analysis and reporting</a:t>
          </a:r>
        </a:p>
        <a:p>
          <a:pPr>
            <a:buNone/>
          </a:pPr>
          <a:r>
            <a:rPr lang="en-GB" sz="1000"/>
            <a:t>Reviewing the evidence to identify key findings and conclusions: Skills needs arising from clean energy; actionable priorities and an indication of how these priorities should be taken forward. </a:t>
          </a:r>
        </a:p>
      </dgm:t>
    </dgm:pt>
    <dgm:pt modelId="{0CCA4E89-7E58-4F54-B579-1CBC707185F3}" type="parTrans" cxnId="{17AF67BD-7DA4-4ADF-BA54-774B5566BD38}">
      <dgm:prSet/>
      <dgm:spPr/>
      <dgm:t>
        <a:bodyPr/>
        <a:lstStyle/>
        <a:p>
          <a:endParaRPr lang="en-GB"/>
        </a:p>
      </dgm:t>
    </dgm:pt>
    <dgm:pt modelId="{3C77F7FB-80D9-42A8-B6D8-D8A18CE361DC}" type="sibTrans" cxnId="{17AF67BD-7DA4-4ADF-BA54-774B5566BD38}">
      <dgm:prSet/>
      <dgm:spPr/>
      <dgm:t>
        <a:bodyPr/>
        <a:lstStyle/>
        <a:p>
          <a:endParaRPr lang="en-GB"/>
        </a:p>
      </dgm:t>
    </dgm:pt>
    <dgm:pt modelId="{1200AB23-B94D-4F1B-ABC6-DC0FE20FBA9C}" type="pres">
      <dgm:prSet presAssocID="{B1AC030C-694D-4CAA-83AE-0F36E74214CF}" presName="outerComposite" presStyleCnt="0">
        <dgm:presLayoutVars>
          <dgm:chMax val="5"/>
          <dgm:dir/>
          <dgm:resizeHandles val="exact"/>
        </dgm:presLayoutVars>
      </dgm:prSet>
      <dgm:spPr/>
    </dgm:pt>
    <dgm:pt modelId="{DCFE889C-11AC-4D4A-92BF-21DC435008B1}" type="pres">
      <dgm:prSet presAssocID="{B1AC030C-694D-4CAA-83AE-0F36E74214CF}" presName="dummyMaxCanvas" presStyleCnt="0">
        <dgm:presLayoutVars/>
      </dgm:prSet>
      <dgm:spPr/>
    </dgm:pt>
    <dgm:pt modelId="{7B91BFDC-1A3F-407F-A3F0-A468F5AF25FD}" type="pres">
      <dgm:prSet presAssocID="{B1AC030C-694D-4CAA-83AE-0F36E74214CF}" presName="FourNodes_1" presStyleLbl="node1" presStyleIdx="0" presStyleCnt="4">
        <dgm:presLayoutVars>
          <dgm:bulletEnabled val="1"/>
        </dgm:presLayoutVars>
      </dgm:prSet>
      <dgm:spPr/>
    </dgm:pt>
    <dgm:pt modelId="{46AF7B68-985B-45A6-A32E-39EA3A27297E}" type="pres">
      <dgm:prSet presAssocID="{B1AC030C-694D-4CAA-83AE-0F36E74214CF}" presName="FourNodes_2" presStyleLbl="node1" presStyleIdx="1" presStyleCnt="4">
        <dgm:presLayoutVars>
          <dgm:bulletEnabled val="1"/>
        </dgm:presLayoutVars>
      </dgm:prSet>
      <dgm:spPr/>
    </dgm:pt>
    <dgm:pt modelId="{511F831F-668C-451E-B05F-14004F6A5809}" type="pres">
      <dgm:prSet presAssocID="{B1AC030C-694D-4CAA-83AE-0F36E74214CF}" presName="FourNodes_3" presStyleLbl="node1" presStyleIdx="2" presStyleCnt="4">
        <dgm:presLayoutVars>
          <dgm:bulletEnabled val="1"/>
        </dgm:presLayoutVars>
      </dgm:prSet>
      <dgm:spPr/>
    </dgm:pt>
    <dgm:pt modelId="{7F0A315D-D113-49D8-A505-1E0159526AE8}" type="pres">
      <dgm:prSet presAssocID="{B1AC030C-694D-4CAA-83AE-0F36E74214CF}" presName="FourNodes_4" presStyleLbl="node1" presStyleIdx="3" presStyleCnt="4">
        <dgm:presLayoutVars>
          <dgm:bulletEnabled val="1"/>
        </dgm:presLayoutVars>
      </dgm:prSet>
      <dgm:spPr/>
    </dgm:pt>
    <dgm:pt modelId="{89E2F680-419A-4328-A729-8EBF8E6DEE37}" type="pres">
      <dgm:prSet presAssocID="{B1AC030C-694D-4CAA-83AE-0F36E74214CF}" presName="FourConn_1-2" presStyleLbl="fgAccFollowNode1" presStyleIdx="0" presStyleCnt="3">
        <dgm:presLayoutVars>
          <dgm:bulletEnabled val="1"/>
        </dgm:presLayoutVars>
      </dgm:prSet>
      <dgm:spPr/>
    </dgm:pt>
    <dgm:pt modelId="{A573A118-B260-45E8-8030-6A30C7A0D474}" type="pres">
      <dgm:prSet presAssocID="{B1AC030C-694D-4CAA-83AE-0F36E74214CF}" presName="FourConn_2-3" presStyleLbl="fgAccFollowNode1" presStyleIdx="1" presStyleCnt="3">
        <dgm:presLayoutVars>
          <dgm:bulletEnabled val="1"/>
        </dgm:presLayoutVars>
      </dgm:prSet>
      <dgm:spPr/>
    </dgm:pt>
    <dgm:pt modelId="{4B67D982-593C-409F-8C44-AE0E2B60F72A}" type="pres">
      <dgm:prSet presAssocID="{B1AC030C-694D-4CAA-83AE-0F36E74214CF}" presName="FourConn_3-4" presStyleLbl="fgAccFollowNode1" presStyleIdx="2" presStyleCnt="3">
        <dgm:presLayoutVars>
          <dgm:bulletEnabled val="1"/>
        </dgm:presLayoutVars>
      </dgm:prSet>
      <dgm:spPr/>
    </dgm:pt>
    <dgm:pt modelId="{C63F8781-5396-4C32-85A1-E15DBEC1EC4B}" type="pres">
      <dgm:prSet presAssocID="{B1AC030C-694D-4CAA-83AE-0F36E74214CF}" presName="FourNodes_1_text" presStyleLbl="node1" presStyleIdx="3" presStyleCnt="4">
        <dgm:presLayoutVars>
          <dgm:bulletEnabled val="1"/>
        </dgm:presLayoutVars>
      </dgm:prSet>
      <dgm:spPr/>
    </dgm:pt>
    <dgm:pt modelId="{655810F0-6C30-4653-8B62-EE919F396C38}" type="pres">
      <dgm:prSet presAssocID="{B1AC030C-694D-4CAA-83AE-0F36E74214CF}" presName="FourNodes_2_text" presStyleLbl="node1" presStyleIdx="3" presStyleCnt="4">
        <dgm:presLayoutVars>
          <dgm:bulletEnabled val="1"/>
        </dgm:presLayoutVars>
      </dgm:prSet>
      <dgm:spPr/>
    </dgm:pt>
    <dgm:pt modelId="{A15A030C-1369-4D65-8D8B-F9EB46BCC477}" type="pres">
      <dgm:prSet presAssocID="{B1AC030C-694D-4CAA-83AE-0F36E74214CF}" presName="FourNodes_3_text" presStyleLbl="node1" presStyleIdx="3" presStyleCnt="4">
        <dgm:presLayoutVars>
          <dgm:bulletEnabled val="1"/>
        </dgm:presLayoutVars>
      </dgm:prSet>
      <dgm:spPr/>
    </dgm:pt>
    <dgm:pt modelId="{CA1C183A-45AC-4616-914D-C7A98028C12E}" type="pres">
      <dgm:prSet presAssocID="{B1AC030C-694D-4CAA-83AE-0F36E74214CF}" presName="FourNodes_4_text" presStyleLbl="node1" presStyleIdx="3" presStyleCnt="4">
        <dgm:presLayoutVars>
          <dgm:bulletEnabled val="1"/>
        </dgm:presLayoutVars>
      </dgm:prSet>
      <dgm:spPr/>
    </dgm:pt>
  </dgm:ptLst>
  <dgm:cxnLst>
    <dgm:cxn modelId="{FBCBF701-8159-47E7-B764-D2ADB0A2FCF7}" type="presOf" srcId="{A4877EAF-35EB-47E3-B276-72A5096D96A2}" destId="{4B67D982-593C-409F-8C44-AE0E2B60F72A}" srcOrd="0" destOrd="0" presId="urn:microsoft.com/office/officeart/2005/8/layout/vProcess5"/>
    <dgm:cxn modelId="{A2395336-F1FC-440A-82FC-735E74F29B3F}" type="presOf" srcId="{C5823D4C-3EF2-406F-979C-4C1DB4B30528}" destId="{C63F8781-5396-4C32-85A1-E15DBEC1EC4B}" srcOrd="1" destOrd="0" presId="urn:microsoft.com/office/officeart/2005/8/layout/vProcess5"/>
    <dgm:cxn modelId="{06ADAC68-BBFD-4EA4-80A1-05188152A525}" type="presOf" srcId="{05087CC1-7DAC-4779-9908-E571A806B4D0}" destId="{511F831F-668C-451E-B05F-14004F6A5809}" srcOrd="0" destOrd="0" presId="urn:microsoft.com/office/officeart/2005/8/layout/vProcess5"/>
    <dgm:cxn modelId="{D94BE14A-8DEC-4A39-86E0-B86F9FEB345D}" srcId="{B1AC030C-694D-4CAA-83AE-0F36E74214CF}" destId="{C5823D4C-3EF2-406F-979C-4C1DB4B30528}" srcOrd="0" destOrd="0" parTransId="{C4CF65C7-10CA-4C1C-8AD5-6BA3EC974718}" sibTransId="{09AB9A70-74C0-49A9-A34C-B5A875247AE8}"/>
    <dgm:cxn modelId="{C50C044B-E2D4-4753-ACE5-6CF5D73667EB}" srcId="{B1AC030C-694D-4CAA-83AE-0F36E74214CF}" destId="{05087CC1-7DAC-4779-9908-E571A806B4D0}" srcOrd="2" destOrd="0" parTransId="{5B5FB78D-9907-4F03-9417-34311B515FDE}" sibTransId="{A4877EAF-35EB-47E3-B276-72A5096D96A2}"/>
    <dgm:cxn modelId="{41382E76-0861-4252-9607-1D7E91272C2A}" type="presOf" srcId="{B349AC1B-837E-4B87-9A50-1655B7803B65}" destId="{A573A118-B260-45E8-8030-6A30C7A0D474}" srcOrd="0" destOrd="0" presId="urn:microsoft.com/office/officeart/2005/8/layout/vProcess5"/>
    <dgm:cxn modelId="{08EA9883-D71B-4762-A38A-E588368FA634}" type="presOf" srcId="{09AB9A70-74C0-49A9-A34C-B5A875247AE8}" destId="{89E2F680-419A-4328-A729-8EBF8E6DEE37}" srcOrd="0" destOrd="0" presId="urn:microsoft.com/office/officeart/2005/8/layout/vProcess5"/>
    <dgm:cxn modelId="{1E27B386-CB44-4E7A-A084-BBABF271C4F6}" type="presOf" srcId="{C5823D4C-3EF2-406F-979C-4C1DB4B30528}" destId="{7B91BFDC-1A3F-407F-A3F0-A468F5AF25FD}" srcOrd="0" destOrd="0" presId="urn:microsoft.com/office/officeart/2005/8/layout/vProcess5"/>
    <dgm:cxn modelId="{A8C5DF95-6916-4EA5-9E89-8B99940B3848}" type="presOf" srcId="{05087CC1-7DAC-4779-9908-E571A806B4D0}" destId="{A15A030C-1369-4D65-8D8B-F9EB46BCC477}" srcOrd="1" destOrd="0" presId="urn:microsoft.com/office/officeart/2005/8/layout/vProcess5"/>
    <dgm:cxn modelId="{472E8CAB-408E-4B77-9860-C5F2FED63658}" srcId="{B1AC030C-694D-4CAA-83AE-0F36E74214CF}" destId="{59642D3C-D43D-4AF7-95AD-225EAED824A5}" srcOrd="1" destOrd="0" parTransId="{E8EB97C6-11C1-4E21-8B94-7901317A98B2}" sibTransId="{B349AC1B-837E-4B87-9A50-1655B7803B65}"/>
    <dgm:cxn modelId="{3006C3B4-C562-4012-8179-98D656689CE7}" type="presOf" srcId="{0B1D989A-A525-495A-A021-6E856067AD10}" destId="{CA1C183A-45AC-4616-914D-C7A98028C12E}" srcOrd="1" destOrd="0" presId="urn:microsoft.com/office/officeart/2005/8/layout/vProcess5"/>
    <dgm:cxn modelId="{A56ABFB5-7EE8-4B6F-B6DB-503B3AC91268}" type="presOf" srcId="{0B1D989A-A525-495A-A021-6E856067AD10}" destId="{7F0A315D-D113-49D8-A505-1E0159526AE8}" srcOrd="0" destOrd="0" presId="urn:microsoft.com/office/officeart/2005/8/layout/vProcess5"/>
    <dgm:cxn modelId="{17AF67BD-7DA4-4ADF-BA54-774B5566BD38}" srcId="{B1AC030C-694D-4CAA-83AE-0F36E74214CF}" destId="{0B1D989A-A525-495A-A021-6E856067AD10}" srcOrd="3" destOrd="0" parTransId="{0CCA4E89-7E58-4F54-B579-1CBC707185F3}" sibTransId="{3C77F7FB-80D9-42A8-B6D8-D8A18CE361DC}"/>
    <dgm:cxn modelId="{0A8CC5C5-25D8-46B8-83A1-109752E1349A}" type="presOf" srcId="{59642D3C-D43D-4AF7-95AD-225EAED824A5}" destId="{655810F0-6C30-4653-8B62-EE919F396C38}" srcOrd="1" destOrd="0" presId="urn:microsoft.com/office/officeart/2005/8/layout/vProcess5"/>
    <dgm:cxn modelId="{3317B9CC-BBD6-4A42-8599-EB53970A7125}" type="presOf" srcId="{B1AC030C-694D-4CAA-83AE-0F36E74214CF}" destId="{1200AB23-B94D-4F1B-ABC6-DC0FE20FBA9C}" srcOrd="0" destOrd="0" presId="urn:microsoft.com/office/officeart/2005/8/layout/vProcess5"/>
    <dgm:cxn modelId="{B92C25D6-242A-4F36-A318-BC836929D706}" type="presOf" srcId="{59642D3C-D43D-4AF7-95AD-225EAED824A5}" destId="{46AF7B68-985B-45A6-A32E-39EA3A27297E}" srcOrd="0" destOrd="0" presId="urn:microsoft.com/office/officeart/2005/8/layout/vProcess5"/>
    <dgm:cxn modelId="{0451086A-0E8B-4C8B-950E-60268EE0D10B}" type="presParOf" srcId="{1200AB23-B94D-4F1B-ABC6-DC0FE20FBA9C}" destId="{DCFE889C-11AC-4D4A-92BF-21DC435008B1}" srcOrd="0" destOrd="0" presId="urn:microsoft.com/office/officeart/2005/8/layout/vProcess5"/>
    <dgm:cxn modelId="{5F806734-9C24-4B7F-95DB-9D0A05289E11}" type="presParOf" srcId="{1200AB23-B94D-4F1B-ABC6-DC0FE20FBA9C}" destId="{7B91BFDC-1A3F-407F-A3F0-A468F5AF25FD}" srcOrd="1" destOrd="0" presId="urn:microsoft.com/office/officeart/2005/8/layout/vProcess5"/>
    <dgm:cxn modelId="{13415EDB-D64C-42FF-B107-02331F6AB950}" type="presParOf" srcId="{1200AB23-B94D-4F1B-ABC6-DC0FE20FBA9C}" destId="{46AF7B68-985B-45A6-A32E-39EA3A27297E}" srcOrd="2" destOrd="0" presId="urn:microsoft.com/office/officeart/2005/8/layout/vProcess5"/>
    <dgm:cxn modelId="{F911A322-0FC9-43DF-A588-46845B799776}" type="presParOf" srcId="{1200AB23-B94D-4F1B-ABC6-DC0FE20FBA9C}" destId="{511F831F-668C-451E-B05F-14004F6A5809}" srcOrd="3" destOrd="0" presId="urn:microsoft.com/office/officeart/2005/8/layout/vProcess5"/>
    <dgm:cxn modelId="{B4063443-7BD1-44EA-BC9C-05EB55C90783}" type="presParOf" srcId="{1200AB23-B94D-4F1B-ABC6-DC0FE20FBA9C}" destId="{7F0A315D-D113-49D8-A505-1E0159526AE8}" srcOrd="4" destOrd="0" presId="urn:microsoft.com/office/officeart/2005/8/layout/vProcess5"/>
    <dgm:cxn modelId="{0E98AA1D-0134-49DE-9349-0EFBD956C316}" type="presParOf" srcId="{1200AB23-B94D-4F1B-ABC6-DC0FE20FBA9C}" destId="{89E2F680-419A-4328-A729-8EBF8E6DEE37}" srcOrd="5" destOrd="0" presId="urn:microsoft.com/office/officeart/2005/8/layout/vProcess5"/>
    <dgm:cxn modelId="{657BC0C5-65C3-4C80-A44E-8444C0147C13}" type="presParOf" srcId="{1200AB23-B94D-4F1B-ABC6-DC0FE20FBA9C}" destId="{A573A118-B260-45E8-8030-6A30C7A0D474}" srcOrd="6" destOrd="0" presId="urn:microsoft.com/office/officeart/2005/8/layout/vProcess5"/>
    <dgm:cxn modelId="{E5259217-D6E3-43C3-85B9-3614B552764A}" type="presParOf" srcId="{1200AB23-B94D-4F1B-ABC6-DC0FE20FBA9C}" destId="{4B67D982-593C-409F-8C44-AE0E2B60F72A}" srcOrd="7" destOrd="0" presId="urn:microsoft.com/office/officeart/2005/8/layout/vProcess5"/>
    <dgm:cxn modelId="{A1CCC307-3079-41C2-A7A2-DDF6E3D6C784}" type="presParOf" srcId="{1200AB23-B94D-4F1B-ABC6-DC0FE20FBA9C}" destId="{C63F8781-5396-4C32-85A1-E15DBEC1EC4B}" srcOrd="8" destOrd="0" presId="urn:microsoft.com/office/officeart/2005/8/layout/vProcess5"/>
    <dgm:cxn modelId="{429A0D88-9BB1-40E1-8BC2-BDDCEF7E8DF5}" type="presParOf" srcId="{1200AB23-B94D-4F1B-ABC6-DC0FE20FBA9C}" destId="{655810F0-6C30-4653-8B62-EE919F396C38}" srcOrd="9" destOrd="0" presId="urn:microsoft.com/office/officeart/2005/8/layout/vProcess5"/>
    <dgm:cxn modelId="{7264FF88-EA01-484B-8024-182BCEE31A31}" type="presParOf" srcId="{1200AB23-B94D-4F1B-ABC6-DC0FE20FBA9C}" destId="{A15A030C-1369-4D65-8D8B-F9EB46BCC477}" srcOrd="10" destOrd="0" presId="urn:microsoft.com/office/officeart/2005/8/layout/vProcess5"/>
    <dgm:cxn modelId="{C776FA69-A872-48B0-A447-17A28C1D8E27}" type="presParOf" srcId="{1200AB23-B94D-4F1B-ABC6-DC0FE20FBA9C}" destId="{CA1C183A-45AC-4616-914D-C7A98028C12E}" srcOrd="11"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1BFDC-1A3F-407F-A3F0-A468F5AF25FD}">
      <dsp:nvSpPr>
        <dsp:cNvPr id="0" name=""/>
        <dsp:cNvSpPr/>
      </dsp:nvSpPr>
      <dsp:spPr>
        <a:xfrm>
          <a:off x="0" y="0"/>
          <a:ext cx="4389120" cy="905256"/>
        </a:xfrm>
        <a:prstGeom prst="roundRect">
          <a:avLst>
            <a:gd name="adj" fmla="val 10000"/>
          </a:avLst>
        </a:prstGeom>
        <a:solidFill>
          <a:sysClr val="window" lastClr="FFFFFF"/>
        </a:solidFill>
        <a:ln w="12700" cap="flat" cmpd="sng" algn="ctr">
          <a:solidFill>
            <a:srgbClr val="70AD47"/>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1. Desktop literature review</a:t>
          </a:r>
        </a:p>
        <a:p>
          <a:pPr marL="0" lvl="0" indent="0" algn="l" defTabSz="488950">
            <a:lnSpc>
              <a:spcPct val="90000"/>
            </a:lnSpc>
            <a:spcBef>
              <a:spcPct val="0"/>
            </a:spcBef>
            <a:spcAft>
              <a:spcPct val="35000"/>
            </a:spcAft>
            <a:buNone/>
          </a:pPr>
          <a:r>
            <a:rPr lang="en-GB" sz="1000" kern="1200"/>
            <a:t>Review existing local, regional and national strategies to understand policy framework, scale of current and future activity, key dependencies and workforce requirements. </a:t>
          </a:r>
          <a:endParaRPr lang="en-GB" sz="1000" kern="1200">
            <a:solidFill>
              <a:sysClr val="windowText" lastClr="000000"/>
            </a:solidFill>
            <a:latin typeface="Calibri" panose="020F0502020204030204"/>
            <a:ea typeface="+mn-ea"/>
            <a:cs typeface="+mn-cs"/>
          </a:endParaRPr>
        </a:p>
      </dsp:txBody>
      <dsp:txXfrm>
        <a:off x="26514" y="26514"/>
        <a:ext cx="3335784" cy="852228"/>
      </dsp:txXfrm>
    </dsp:sp>
    <dsp:sp modelId="{46AF7B68-985B-45A6-A32E-39EA3A27297E}">
      <dsp:nvSpPr>
        <dsp:cNvPr id="0" name=""/>
        <dsp:cNvSpPr/>
      </dsp:nvSpPr>
      <dsp:spPr>
        <a:xfrm>
          <a:off x="367588" y="1069848"/>
          <a:ext cx="4389120" cy="905256"/>
        </a:xfrm>
        <a:prstGeom prst="roundRect">
          <a:avLst>
            <a:gd name="adj" fmla="val 10000"/>
          </a:avLst>
        </a:prstGeom>
        <a:solidFill>
          <a:sysClr val="window" lastClr="FFFFFF"/>
        </a:solidFill>
        <a:ln w="12700" cap="flat" cmpd="sng" algn="ctr">
          <a:solidFill>
            <a:srgbClr val="70AD47"/>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dirty="0"/>
            <a:t>2. Data review</a:t>
          </a:r>
          <a:endParaRPr lang="en-GB" sz="1100" b="1" kern="1200">
            <a:solidFill>
              <a:sysClr val="windowText" lastClr="000000"/>
            </a:solidFill>
            <a:latin typeface="Calibri" panose="020F0502020204030204"/>
            <a:ea typeface="+mn-ea"/>
            <a:cs typeface="+mn-cs"/>
          </a:endParaRPr>
        </a:p>
        <a:p>
          <a:pPr marL="0" lvl="0" indent="0" algn="l" defTabSz="488950">
            <a:lnSpc>
              <a:spcPct val="90000"/>
            </a:lnSpc>
            <a:spcBef>
              <a:spcPct val="0"/>
            </a:spcBef>
            <a:spcAft>
              <a:spcPct val="35000"/>
            </a:spcAft>
            <a:buNone/>
          </a:pPr>
          <a:r>
            <a:rPr lang="en-GB" sz="1000" kern="1200">
              <a:solidFill>
                <a:sysClr val="windowText" lastClr="000000"/>
              </a:solidFill>
              <a:latin typeface="Calibri" panose="020F0502020204030204"/>
              <a:ea typeface="+mn-ea"/>
              <a:cs typeface="+mn-cs"/>
            </a:rPr>
            <a:t>Analysis of existing data describing the clean energy sector within Cumbria, future developments, relevant labour forecasts and projections, current education and trianing delivery.</a:t>
          </a:r>
        </a:p>
      </dsp:txBody>
      <dsp:txXfrm>
        <a:off x="394102" y="1096362"/>
        <a:ext cx="3380086" cy="852228"/>
      </dsp:txXfrm>
    </dsp:sp>
    <dsp:sp modelId="{511F831F-668C-451E-B05F-14004F6A5809}">
      <dsp:nvSpPr>
        <dsp:cNvPr id="0" name=""/>
        <dsp:cNvSpPr/>
      </dsp:nvSpPr>
      <dsp:spPr>
        <a:xfrm>
          <a:off x="729691" y="2139696"/>
          <a:ext cx="4389120" cy="905256"/>
        </a:xfrm>
        <a:prstGeom prst="roundRect">
          <a:avLst>
            <a:gd name="adj" fmla="val 10000"/>
          </a:avLst>
        </a:prstGeom>
        <a:solidFill>
          <a:sysClr val="window" lastClr="FFFFFF"/>
        </a:solidFill>
        <a:ln w="12700" cap="flat" cmpd="sng" algn="ctr">
          <a:solidFill>
            <a:srgbClr val="70AD47"/>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3. Stakeholder engagement</a:t>
          </a:r>
        </a:p>
        <a:p>
          <a:pPr marL="0" lvl="0" indent="0" algn="l" defTabSz="488950">
            <a:lnSpc>
              <a:spcPct val="90000"/>
            </a:lnSpc>
            <a:spcBef>
              <a:spcPct val="0"/>
            </a:spcBef>
            <a:spcAft>
              <a:spcPct val="35000"/>
            </a:spcAft>
            <a:buNone/>
          </a:pPr>
          <a:r>
            <a:rPr lang="en-GB" sz="1000" b="0" kern="1200">
              <a:solidFill>
                <a:sysClr val="windowText" lastClr="000000"/>
              </a:solidFill>
              <a:latin typeface="Calibri" panose="020F0502020204030204"/>
              <a:ea typeface="+mn-ea"/>
              <a:cs typeface="+mn-cs"/>
            </a:rPr>
            <a:t>Seeking input from employers, education and training providers and other key stakeholders, via lines of enquiry informed by the evidence gathered at stages 1 and 2</a:t>
          </a:r>
        </a:p>
      </dsp:txBody>
      <dsp:txXfrm>
        <a:off x="756205" y="2166210"/>
        <a:ext cx="3385573" cy="852228"/>
      </dsp:txXfrm>
    </dsp:sp>
    <dsp:sp modelId="{7F0A315D-D113-49D8-A505-1E0159526AE8}">
      <dsp:nvSpPr>
        <dsp:cNvPr id="0" name=""/>
        <dsp:cNvSpPr/>
      </dsp:nvSpPr>
      <dsp:spPr>
        <a:xfrm>
          <a:off x="1097279" y="3209544"/>
          <a:ext cx="4389120" cy="905256"/>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solidFill>
              <a:latin typeface="Calibri" panose="020F0502020204030204"/>
              <a:ea typeface="+mn-ea"/>
              <a:cs typeface="+mn-cs"/>
            </a:rPr>
            <a:t>4. Analysis and reporting</a:t>
          </a:r>
        </a:p>
        <a:p>
          <a:pPr marL="0" lvl="0" indent="0" algn="l" defTabSz="488950">
            <a:lnSpc>
              <a:spcPct val="90000"/>
            </a:lnSpc>
            <a:spcBef>
              <a:spcPct val="0"/>
            </a:spcBef>
            <a:spcAft>
              <a:spcPct val="35000"/>
            </a:spcAft>
            <a:buNone/>
          </a:pPr>
          <a:r>
            <a:rPr lang="en-GB" sz="1000" kern="1200"/>
            <a:t>Reviewing the evidence to identify key findings and conclusions: Skills needs arising from clean energy; actionable priorities and an indication of how these priorities should be taken forward. </a:t>
          </a:r>
        </a:p>
      </dsp:txBody>
      <dsp:txXfrm>
        <a:off x="1123793" y="3236058"/>
        <a:ext cx="3380086" cy="852228"/>
      </dsp:txXfrm>
    </dsp:sp>
    <dsp:sp modelId="{89E2F680-419A-4328-A729-8EBF8E6DEE37}">
      <dsp:nvSpPr>
        <dsp:cNvPr id="0" name=""/>
        <dsp:cNvSpPr/>
      </dsp:nvSpPr>
      <dsp:spPr>
        <a:xfrm>
          <a:off x="3800703" y="693343"/>
          <a:ext cx="588416" cy="588416"/>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a:off x="3933097" y="693343"/>
        <a:ext cx="323628" cy="442783"/>
      </dsp:txXfrm>
    </dsp:sp>
    <dsp:sp modelId="{A573A118-B260-45E8-8030-6A30C7A0D474}">
      <dsp:nvSpPr>
        <dsp:cNvPr id="0" name=""/>
        <dsp:cNvSpPr/>
      </dsp:nvSpPr>
      <dsp:spPr>
        <a:xfrm>
          <a:off x="4168292" y="1763191"/>
          <a:ext cx="588416" cy="588416"/>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GB" sz="2600" kern="1200">
            <a:solidFill>
              <a:sysClr val="windowText" lastClr="000000">
                <a:hueOff val="0"/>
                <a:satOff val="0"/>
                <a:lumOff val="0"/>
                <a:alphaOff val="0"/>
              </a:sysClr>
            </a:solidFill>
            <a:latin typeface="Calibri" panose="020F0502020204030204"/>
            <a:ea typeface="+mn-ea"/>
            <a:cs typeface="+mn-cs"/>
          </a:endParaRPr>
        </a:p>
      </dsp:txBody>
      <dsp:txXfrm>
        <a:off x="4300686" y="1763191"/>
        <a:ext cx="323628" cy="442783"/>
      </dsp:txXfrm>
    </dsp:sp>
    <dsp:sp modelId="{4B67D982-593C-409F-8C44-AE0E2B60F72A}">
      <dsp:nvSpPr>
        <dsp:cNvPr id="0" name=""/>
        <dsp:cNvSpPr/>
      </dsp:nvSpPr>
      <dsp:spPr>
        <a:xfrm>
          <a:off x="4530394" y="2833039"/>
          <a:ext cx="588416" cy="58841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GB" sz="2600" kern="1200"/>
        </a:p>
      </dsp:txBody>
      <dsp:txXfrm>
        <a:off x="4662788" y="2833039"/>
        <a:ext cx="323628" cy="44278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4073-DA88-497A-B5B9-5D6FE270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10794</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Farr</dc:creator>
  <cp:keywords/>
  <dc:description/>
  <cp:lastModifiedBy>Gareth O'Rourke</cp:lastModifiedBy>
  <cp:revision>2</cp:revision>
  <cp:lastPrinted>2023-06-28T10:07:00Z</cp:lastPrinted>
  <dcterms:created xsi:type="dcterms:W3CDTF">2024-04-05T15:37:00Z</dcterms:created>
  <dcterms:modified xsi:type="dcterms:W3CDTF">2024-04-05T15:37:00Z</dcterms:modified>
</cp:coreProperties>
</file>